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5284" w:type="dxa"/>
        <w:jc w:val="center"/>
        <w:tblLayout w:type="autofit"/>
        <w:tblCellMar>
          <w:top w:w="0" w:type="dxa"/>
          <w:left w:w="108" w:type="dxa"/>
          <w:bottom w:w="0" w:type="dxa"/>
          <w:right w:w="108" w:type="dxa"/>
        </w:tblCellMar>
      </w:tblPr>
      <w:tblGrid>
        <w:gridCol w:w="6219"/>
        <w:gridCol w:w="9065"/>
      </w:tblGrid>
      <w:tr w14:paraId="6B44EFE3">
        <w:tblPrEx>
          <w:tblCellMar>
            <w:top w:w="0" w:type="dxa"/>
            <w:left w:w="108" w:type="dxa"/>
            <w:bottom w:w="0" w:type="dxa"/>
            <w:right w:w="108" w:type="dxa"/>
          </w:tblCellMar>
        </w:tblPrEx>
        <w:trPr>
          <w:trHeight w:val="594" w:hRule="atLeast"/>
          <w:jc w:val="center"/>
        </w:trPr>
        <w:tc>
          <w:tcPr>
            <w:tcW w:w="6219" w:type="dxa"/>
          </w:tcPr>
          <w:p w14:paraId="49FB1334">
            <w:pPr>
              <w:ind w:left="1" w:hanging="3"/>
              <w:jc w:val="center"/>
              <w:rPr>
                <w:sz w:val="26"/>
                <w:szCs w:val="26"/>
              </w:rPr>
            </w:pPr>
            <w:r>
              <w:rPr>
                <w:sz w:val="26"/>
                <w:szCs w:val="26"/>
              </w:rPr>
              <w:br w:type="page"/>
            </w:r>
            <w:r>
              <w:rPr>
                <w:sz w:val="26"/>
                <w:szCs w:val="26"/>
              </w:rPr>
              <w:br w:type="page"/>
            </w:r>
            <w:r>
              <w:rPr>
                <w:sz w:val="26"/>
                <w:szCs w:val="26"/>
              </w:rPr>
              <w:t>ỦY BAN NHÂN DÂN</w:t>
            </w:r>
          </w:p>
          <w:p w14:paraId="401C9865">
            <w:pPr>
              <w:ind w:left="1" w:hanging="3"/>
              <w:jc w:val="center"/>
              <w:rPr>
                <w:sz w:val="26"/>
                <w:szCs w:val="26"/>
              </w:rPr>
            </w:pPr>
            <w:r>
              <w:rPr>
                <w:sz w:val="26"/>
                <w:szCs w:val="26"/>
              </w:rPr>
              <w:t>THÀNH PHỐ HỒ CHÍ MINH</w:t>
            </w:r>
          </w:p>
          <w:p w14:paraId="240F20C0">
            <w:pPr>
              <w:ind w:left="1" w:hanging="3"/>
              <w:jc w:val="center"/>
              <w:rPr>
                <w:b/>
                <w:sz w:val="26"/>
                <w:szCs w:val="26"/>
              </w:rPr>
            </w:pPr>
            <w:r>
              <w:rPr>
                <w:b/>
                <w:sz w:val="26"/>
                <w:szCs w:val="26"/>
              </w:rPr>
              <w:t>SỞ NỘI VỤ</w:t>
            </w:r>
          </w:p>
          <w:p w14:paraId="73683938">
            <w:pPr>
              <w:pStyle w:val="17"/>
              <w:spacing w:after="0"/>
              <w:ind w:left="1" w:hanging="3"/>
              <w:jc w:val="center"/>
              <w:rPr>
                <w:bCs/>
                <w:sz w:val="26"/>
                <w:szCs w:val="26"/>
              </w:rPr>
            </w:pPr>
            <w:r>
              <w:rPr>
                <w:sz w:val="26"/>
                <w:szCs w:val="26"/>
                <w:lang w:val="en-US"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60325</wp:posOffset>
                      </wp:positionV>
                      <wp:extent cx="4318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318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margin-top:4.75pt;height:0pt;width:34pt;mso-position-horizontal:center;mso-position-horizontal-relative:margin;z-index:251659264;mso-width-relative:page;mso-height-relative:page;" filled="f" stroked="t" coordsize="21600,21600" o:gfxdata="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v1S&#10;ANEAAAADAQAADwAAAAAAAAABACAAAAAiAAAAZHJzL2Rvd25yZXYueG1sUEsBAhQAFAAAAAgAh07i&#10;QE/+bPXwAQAA9gMAAA4AAAAAAAAAAQAgAAAAIAEAAGRycy9lMm9Eb2MueG1sUEsFBgAAAAAGAAYA&#10;WQEAAIIFAAAAAA==&#10;">
                      <v:fill on="f" focussize="0,0"/>
                      <v:stroke color="#000000" joinstyle="round"/>
                      <v:imagedata o:title=""/>
                      <o:lock v:ext="edit" aspectratio="f"/>
                    </v:line>
                  </w:pict>
                </mc:Fallback>
              </mc:AlternateContent>
            </w:r>
          </w:p>
        </w:tc>
        <w:tc>
          <w:tcPr>
            <w:tcW w:w="9065" w:type="dxa"/>
          </w:tcPr>
          <w:p w14:paraId="00680086">
            <w:pPr>
              <w:pStyle w:val="15"/>
              <w:ind w:left="1" w:hanging="3"/>
              <w:rPr>
                <w:rFonts w:ascii="Times New Roman" w:hAnsi="Times New Roman"/>
                <w:b/>
                <w:bCs w:val="0"/>
                <w:szCs w:val="26"/>
              </w:rPr>
            </w:pPr>
            <w:r>
              <w:rPr>
                <w:rFonts w:ascii="Times New Roman" w:hAnsi="Times New Roman"/>
                <w:b/>
                <w:bCs w:val="0"/>
                <w:szCs w:val="26"/>
              </w:rPr>
              <w:t>CỘNG HÒA XÃ HỘI CHỦ NGHĨA VIỆT NAM</w:t>
            </w:r>
          </w:p>
          <w:p w14:paraId="30E8CCCD">
            <w:pPr>
              <w:ind w:left="1" w:hanging="3"/>
              <w:jc w:val="center"/>
              <w:rPr>
                <w:b/>
                <w:sz w:val="28"/>
                <w:szCs w:val="28"/>
              </w:rPr>
            </w:pPr>
            <w:r>
              <w:rPr>
                <w:b/>
                <w:sz w:val="28"/>
                <w:szCs w:val="28"/>
              </w:rPr>
              <w:t>Độc lập - Tự do - Hạnh phúc</w:t>
            </w:r>
          </w:p>
          <w:p w14:paraId="6E05B02F">
            <w:pPr>
              <w:pStyle w:val="2"/>
              <w:ind w:left="1" w:hanging="3"/>
              <w:rPr>
                <w:rFonts w:ascii="Times New Roman" w:hAnsi="Times New Roman"/>
                <w:b/>
                <w:iCs w:val="0"/>
                <w:szCs w:val="26"/>
              </w:rPr>
            </w:pPr>
            <w:r>
              <w:rPr>
                <w:sz w:val="26"/>
              </w:rPr>
              <mc:AlternateContent>
                <mc:Choice Requires="wps">
                  <w:drawing>
                    <wp:anchor distT="0" distB="0" distL="114300" distR="114300" simplePos="0" relativeHeight="251660288" behindDoc="0" locked="0" layoutInCell="1" allowOverlap="1">
                      <wp:simplePos x="0" y="0"/>
                      <wp:positionH relativeFrom="column">
                        <wp:posOffset>1711325</wp:posOffset>
                      </wp:positionH>
                      <wp:positionV relativeFrom="paragraph">
                        <wp:posOffset>24765</wp:posOffset>
                      </wp:positionV>
                      <wp:extent cx="2184400" cy="0"/>
                      <wp:effectExtent l="0" t="4445" r="0" b="5080"/>
                      <wp:wrapNone/>
                      <wp:docPr id="1" name="Straight Connector 1"/>
                      <wp:cNvGraphicFramePr/>
                      <a:graphic xmlns:a="http://schemas.openxmlformats.org/drawingml/2006/main">
                        <a:graphicData uri="http://schemas.microsoft.com/office/word/2010/wordprocessingShape">
                          <wps:wsp>
                            <wps:cNvCnPr/>
                            <wps:spPr>
                              <a:xfrm>
                                <a:off x="6146800" y="1132205"/>
                                <a:ext cx="2184400" cy="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34.75pt;margin-top:1.95pt;height:0pt;width:172pt;z-index:251660288;mso-width-relative:page;mso-height-relative:page;" filled="f" stroked="t" coordsize="21600,21600" o:gfxdata="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haK2XSAAAABwEAAA8AAAAA&#10;AAAAAQAgAAAAIgAAAGRycy9kb3ducmV2LnhtbFBLAQIUABQAAAAIAIdO4kBLGs0O4QEAAMADAAAO&#10;AAAAAAAAAAEAIAAAACEBAABkcnMvZTJvRG9jLnhtbFBLBQYAAAAABgAGAFkBAAB0BQAAAAA=&#10;">
                      <v:fill on="f" focussize="0,0"/>
                      <v:stroke weight="0.25pt" color="#000000 [3213]" miterlimit="8" joinstyle="miter"/>
                      <v:imagedata o:title=""/>
                      <o:lock v:ext="edit" aspectratio="f"/>
                    </v:line>
                  </w:pict>
                </mc:Fallback>
              </mc:AlternateContent>
            </w:r>
          </w:p>
        </w:tc>
      </w:tr>
      <w:tr w14:paraId="3B5446EE">
        <w:tblPrEx>
          <w:tblCellMar>
            <w:top w:w="0" w:type="dxa"/>
            <w:left w:w="108" w:type="dxa"/>
            <w:bottom w:w="0" w:type="dxa"/>
            <w:right w:w="108" w:type="dxa"/>
          </w:tblCellMar>
        </w:tblPrEx>
        <w:trPr>
          <w:trHeight w:val="75" w:hRule="atLeast"/>
          <w:jc w:val="center"/>
        </w:trPr>
        <w:tc>
          <w:tcPr>
            <w:tcW w:w="6219" w:type="dxa"/>
            <w:vAlign w:val="center"/>
          </w:tcPr>
          <w:p w14:paraId="4EB3B832">
            <w:pPr>
              <w:ind w:left="1" w:hanging="3"/>
              <w:jc w:val="center"/>
              <w:rPr>
                <w:sz w:val="26"/>
                <w:szCs w:val="26"/>
              </w:rPr>
            </w:pPr>
          </w:p>
        </w:tc>
        <w:tc>
          <w:tcPr>
            <w:tcW w:w="9065" w:type="dxa"/>
            <w:vAlign w:val="center"/>
          </w:tcPr>
          <w:p w14:paraId="5FAE432F">
            <w:pPr>
              <w:pStyle w:val="15"/>
              <w:ind w:left="0" w:leftChars="0" w:firstLine="0" w:firstLineChars="0"/>
              <w:jc w:val="left"/>
              <w:rPr>
                <w:rFonts w:ascii="Times New Roman" w:hAnsi="Times New Roman"/>
                <w:b w:val="0"/>
                <w:bCs w:val="0"/>
                <w:szCs w:val="26"/>
              </w:rPr>
            </w:pPr>
          </w:p>
        </w:tc>
      </w:tr>
      <w:tr w14:paraId="0C5144FB">
        <w:tblPrEx>
          <w:tblCellMar>
            <w:top w:w="0" w:type="dxa"/>
            <w:left w:w="108" w:type="dxa"/>
            <w:bottom w:w="0" w:type="dxa"/>
            <w:right w:w="108" w:type="dxa"/>
          </w:tblCellMar>
        </w:tblPrEx>
        <w:trPr>
          <w:trHeight w:val="65" w:hRule="atLeast"/>
          <w:jc w:val="center"/>
        </w:trPr>
        <w:tc>
          <w:tcPr>
            <w:tcW w:w="6219" w:type="dxa"/>
            <w:vAlign w:val="center"/>
          </w:tcPr>
          <w:p w14:paraId="2B31DEAC">
            <w:pPr>
              <w:ind w:left="0" w:leftChars="0" w:firstLine="0" w:firstLineChars="0"/>
              <w:rPr>
                <w:sz w:val="26"/>
                <w:szCs w:val="26"/>
              </w:rPr>
            </w:pPr>
          </w:p>
        </w:tc>
        <w:tc>
          <w:tcPr>
            <w:tcW w:w="9065" w:type="dxa"/>
            <w:vAlign w:val="center"/>
          </w:tcPr>
          <w:p w14:paraId="33382787">
            <w:pPr>
              <w:pStyle w:val="15"/>
              <w:ind w:left="0" w:leftChars="0" w:firstLine="0" w:firstLineChars="0"/>
              <w:jc w:val="left"/>
              <w:rPr>
                <w:rFonts w:ascii="Times New Roman" w:hAnsi="Times New Roman"/>
                <w:b w:val="0"/>
                <w:szCs w:val="26"/>
              </w:rPr>
            </w:pPr>
          </w:p>
        </w:tc>
      </w:tr>
    </w:tbl>
    <w:p w14:paraId="24D009FB">
      <w:pPr>
        <w:ind w:left="1" w:hanging="3"/>
        <w:rPr>
          <w:vanish/>
          <w:sz w:val="26"/>
          <w:szCs w:val="26"/>
        </w:rPr>
      </w:pPr>
    </w:p>
    <w:p w14:paraId="5C1BAFE2">
      <w:pPr>
        <w:ind w:left="1" w:hanging="3"/>
        <w:jc w:val="center"/>
        <w:rPr>
          <w:b/>
          <w:bCs/>
          <w:spacing w:val="-6"/>
          <w:sz w:val="28"/>
          <w:szCs w:val="28"/>
        </w:rPr>
      </w:pPr>
      <w:r>
        <w:rPr>
          <w:b/>
          <w:bCs/>
          <w:spacing w:val="-6"/>
          <w:sz w:val="28"/>
          <w:szCs w:val="28"/>
        </w:rPr>
        <w:t>PHỤ LỤC NỘI DUNG</w:t>
      </w:r>
    </w:p>
    <w:p w14:paraId="2D3758CE">
      <w:pPr>
        <w:ind w:left="1" w:hanging="3"/>
        <w:jc w:val="center"/>
        <w:rPr>
          <w:b/>
          <w:sz w:val="28"/>
          <w:szCs w:val="28"/>
        </w:rPr>
      </w:pPr>
      <w:r>
        <w:rPr>
          <w:b/>
          <w:sz w:val="28"/>
          <w:szCs w:val="28"/>
        </w:rPr>
        <w:t>Kết quả, tiến độ thực hiện</w:t>
      </w:r>
      <w:r>
        <w:rPr>
          <w:sz w:val="28"/>
          <w:szCs w:val="28"/>
        </w:rPr>
        <w:t xml:space="preserve"> c</w:t>
      </w:r>
      <w:r>
        <w:rPr>
          <w:b/>
          <w:sz w:val="28"/>
          <w:szCs w:val="28"/>
        </w:rPr>
        <w:t xml:space="preserve">ác chương trình, công trình, dự án tiêu biểu chào mừng kỷ niệm </w:t>
      </w:r>
    </w:p>
    <w:p w14:paraId="3F56994C">
      <w:pPr>
        <w:ind w:left="1" w:hanging="3"/>
        <w:jc w:val="center"/>
        <w:rPr>
          <w:sz w:val="28"/>
          <w:szCs w:val="28"/>
        </w:rPr>
      </w:pPr>
      <w:r>
        <w:rPr>
          <w:b/>
          <w:sz w:val="28"/>
          <w:szCs w:val="28"/>
        </w:rPr>
        <w:t>50 năm Ngày Giải phóng miền Nam, thống nhất đất nước (30/4/1975 - 30/4/2025)</w:t>
      </w:r>
      <w:r>
        <w:rPr>
          <w:sz w:val="28"/>
          <w:szCs w:val="28"/>
        </w:rPr>
        <w:t xml:space="preserve"> </w:t>
      </w:r>
    </w:p>
    <w:p w14:paraId="5D96EFD1">
      <w:pPr>
        <w:ind w:left="1" w:hanging="3"/>
        <w:jc w:val="center"/>
        <w:rPr>
          <w:b/>
          <w:color w:val="000000"/>
          <w:sz w:val="28"/>
          <w:szCs w:val="28"/>
        </w:rPr>
      </w:pPr>
      <w:r>
        <w:rPr>
          <w:i/>
          <w:iCs/>
          <w:color w:val="000000"/>
          <w:sz w:val="28"/>
          <w:szCs w:val="28"/>
        </w:rPr>
        <w:t>(Kèm Báo cáo         /BC-SNV ngày      tháng 10 năm 2024 của Sở Nội vụ)</w:t>
      </w:r>
    </w:p>
    <w:p w14:paraId="027B17CC">
      <w:pPr>
        <w:ind w:left="1" w:hanging="3"/>
        <w:jc w:val="center"/>
        <w:rPr>
          <w:b/>
          <w:bCs/>
          <w:sz w:val="26"/>
          <w:szCs w:val="26"/>
        </w:rPr>
      </w:pPr>
      <w:r>
        <w:rPr>
          <w:b/>
          <w:bCs/>
          <w:sz w:val="26"/>
          <w:szCs w:val="26"/>
        </w:rPr>
        <w:t>________</w:t>
      </w:r>
    </w:p>
    <w:p w14:paraId="474C8BAE">
      <w:pPr>
        <w:ind w:left="1" w:hanging="3"/>
        <w:rPr>
          <w:sz w:val="26"/>
          <w:szCs w:val="26"/>
        </w:rPr>
      </w:pPr>
    </w:p>
    <w:tbl>
      <w:tblPr>
        <w:tblStyle w:val="12"/>
        <w:tblW w:w="15860" w:type="dxa"/>
        <w:tblInd w:w="-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1834"/>
        <w:gridCol w:w="2351"/>
        <w:gridCol w:w="3178"/>
        <w:gridCol w:w="1689"/>
        <w:gridCol w:w="4961"/>
        <w:gridCol w:w="867"/>
        <w:gridCol w:w="125"/>
      </w:tblGrid>
      <w:tr w14:paraId="185AB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855" w:type="dxa"/>
            <w:vAlign w:val="center"/>
          </w:tcPr>
          <w:p w14:paraId="5E97703F">
            <w:pPr>
              <w:spacing w:line="240" w:lineRule="auto"/>
              <w:ind w:left="1" w:hanging="3"/>
              <w:jc w:val="center"/>
              <w:rPr>
                <w:sz w:val="26"/>
                <w:szCs w:val="26"/>
              </w:rPr>
            </w:pPr>
            <w:r>
              <w:rPr>
                <w:b/>
                <w:sz w:val="26"/>
                <w:szCs w:val="26"/>
              </w:rPr>
              <w:t>STT</w:t>
            </w:r>
          </w:p>
        </w:tc>
        <w:tc>
          <w:tcPr>
            <w:tcW w:w="1834" w:type="dxa"/>
            <w:vAlign w:val="center"/>
          </w:tcPr>
          <w:p w14:paraId="72BA1027">
            <w:pPr>
              <w:spacing w:line="240" w:lineRule="auto"/>
              <w:ind w:left="1" w:hanging="3"/>
              <w:jc w:val="center"/>
              <w:rPr>
                <w:sz w:val="26"/>
                <w:szCs w:val="26"/>
              </w:rPr>
            </w:pPr>
            <w:r>
              <w:rPr>
                <w:b/>
                <w:sz w:val="26"/>
                <w:szCs w:val="26"/>
              </w:rPr>
              <w:t xml:space="preserve">Tên các </w:t>
            </w:r>
            <w:r>
              <w:rPr>
                <w:b/>
                <w:sz w:val="26"/>
                <w:szCs w:val="26"/>
              </w:rPr>
              <w:br w:type="textWrapping"/>
            </w:r>
            <w:r>
              <w:rPr>
                <w:b/>
                <w:sz w:val="26"/>
                <w:szCs w:val="26"/>
              </w:rPr>
              <w:t xml:space="preserve">chương trình, </w:t>
            </w:r>
            <w:r>
              <w:rPr>
                <w:b/>
                <w:sz w:val="26"/>
                <w:szCs w:val="26"/>
              </w:rPr>
              <w:br w:type="textWrapping"/>
            </w:r>
            <w:r>
              <w:rPr>
                <w:b/>
                <w:sz w:val="26"/>
                <w:szCs w:val="26"/>
              </w:rPr>
              <w:t xml:space="preserve">công trình, </w:t>
            </w:r>
            <w:r>
              <w:rPr>
                <w:b/>
                <w:sz w:val="26"/>
                <w:szCs w:val="26"/>
              </w:rPr>
              <w:br w:type="textWrapping"/>
            </w:r>
            <w:r>
              <w:rPr>
                <w:b/>
                <w:sz w:val="26"/>
                <w:szCs w:val="26"/>
              </w:rPr>
              <w:t>dự án</w:t>
            </w:r>
          </w:p>
        </w:tc>
        <w:tc>
          <w:tcPr>
            <w:tcW w:w="2351" w:type="dxa"/>
            <w:vAlign w:val="center"/>
          </w:tcPr>
          <w:p w14:paraId="670A9E41">
            <w:pPr>
              <w:spacing w:line="240" w:lineRule="auto"/>
              <w:ind w:left="1" w:hanging="3"/>
              <w:jc w:val="center"/>
              <w:rPr>
                <w:sz w:val="26"/>
                <w:szCs w:val="26"/>
              </w:rPr>
            </w:pPr>
            <w:r>
              <w:rPr>
                <w:b/>
                <w:sz w:val="26"/>
                <w:szCs w:val="26"/>
              </w:rPr>
              <w:t>Thực hiện</w:t>
            </w:r>
          </w:p>
        </w:tc>
        <w:tc>
          <w:tcPr>
            <w:tcW w:w="3178" w:type="dxa"/>
            <w:vAlign w:val="center"/>
          </w:tcPr>
          <w:p w14:paraId="1D6607A5">
            <w:pPr>
              <w:spacing w:line="240" w:lineRule="auto"/>
              <w:ind w:left="1" w:hanging="3"/>
              <w:jc w:val="center"/>
              <w:rPr>
                <w:sz w:val="26"/>
                <w:szCs w:val="26"/>
              </w:rPr>
            </w:pPr>
            <w:r>
              <w:rPr>
                <w:b/>
                <w:sz w:val="26"/>
                <w:szCs w:val="26"/>
              </w:rPr>
              <w:t>Nội dung</w:t>
            </w:r>
          </w:p>
        </w:tc>
        <w:tc>
          <w:tcPr>
            <w:tcW w:w="1689" w:type="dxa"/>
            <w:vAlign w:val="center"/>
          </w:tcPr>
          <w:p w14:paraId="6E400B39">
            <w:pPr>
              <w:spacing w:line="240" w:lineRule="auto"/>
              <w:ind w:left="1" w:hanging="3"/>
              <w:jc w:val="center"/>
              <w:rPr>
                <w:sz w:val="26"/>
                <w:szCs w:val="26"/>
              </w:rPr>
            </w:pPr>
            <w:r>
              <w:rPr>
                <w:b/>
                <w:sz w:val="26"/>
                <w:szCs w:val="26"/>
              </w:rPr>
              <w:t>Mốc thời gian</w:t>
            </w:r>
          </w:p>
        </w:tc>
        <w:tc>
          <w:tcPr>
            <w:tcW w:w="4961" w:type="dxa"/>
            <w:vAlign w:val="center"/>
          </w:tcPr>
          <w:p w14:paraId="29FB7215">
            <w:pPr>
              <w:spacing w:line="240" w:lineRule="auto"/>
              <w:ind w:left="1" w:hanging="3"/>
              <w:jc w:val="center"/>
              <w:rPr>
                <w:sz w:val="26"/>
                <w:szCs w:val="26"/>
              </w:rPr>
            </w:pPr>
            <w:r>
              <w:rPr>
                <w:b/>
                <w:sz w:val="26"/>
                <w:szCs w:val="26"/>
              </w:rPr>
              <w:t xml:space="preserve">Tiến độ, kết quả thực hiện </w:t>
            </w:r>
          </w:p>
          <w:p w14:paraId="2E546A85">
            <w:pPr>
              <w:spacing w:line="240" w:lineRule="auto"/>
              <w:ind w:left="1" w:hanging="3"/>
              <w:jc w:val="center"/>
              <w:rPr>
                <w:sz w:val="26"/>
                <w:szCs w:val="26"/>
              </w:rPr>
            </w:pPr>
            <w:r>
              <w:rPr>
                <w:b/>
                <w:sz w:val="26"/>
                <w:szCs w:val="26"/>
              </w:rPr>
              <w:t>đến thời điểm báo cáo</w:t>
            </w:r>
          </w:p>
        </w:tc>
        <w:tc>
          <w:tcPr>
            <w:tcW w:w="992" w:type="dxa"/>
            <w:gridSpan w:val="2"/>
            <w:vAlign w:val="center"/>
          </w:tcPr>
          <w:p w14:paraId="77873074">
            <w:pPr>
              <w:spacing w:line="240" w:lineRule="auto"/>
              <w:ind w:left="1" w:hanging="3"/>
              <w:jc w:val="center"/>
              <w:rPr>
                <w:sz w:val="26"/>
                <w:szCs w:val="26"/>
              </w:rPr>
            </w:pPr>
            <w:r>
              <w:rPr>
                <w:b/>
                <w:sz w:val="26"/>
                <w:szCs w:val="26"/>
              </w:rPr>
              <w:t>Ghi chú</w:t>
            </w:r>
          </w:p>
        </w:tc>
      </w:tr>
      <w:tr w14:paraId="4A63C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Height w:val="680" w:hRule="atLeast"/>
        </w:trPr>
        <w:tc>
          <w:tcPr>
            <w:tcW w:w="855" w:type="dxa"/>
            <w:vAlign w:val="center"/>
          </w:tcPr>
          <w:p w14:paraId="6C4D6DDB">
            <w:pPr>
              <w:spacing w:line="240" w:lineRule="auto"/>
              <w:ind w:left="1" w:hanging="3"/>
              <w:jc w:val="center"/>
              <w:rPr>
                <w:sz w:val="26"/>
                <w:szCs w:val="26"/>
              </w:rPr>
            </w:pPr>
            <w:r>
              <w:rPr>
                <w:b/>
                <w:sz w:val="26"/>
                <w:szCs w:val="26"/>
              </w:rPr>
              <w:t>I</w:t>
            </w:r>
          </w:p>
        </w:tc>
        <w:tc>
          <w:tcPr>
            <w:tcW w:w="14880" w:type="dxa"/>
            <w:gridSpan w:val="6"/>
            <w:vAlign w:val="center"/>
          </w:tcPr>
          <w:p w14:paraId="717C58B3">
            <w:pPr>
              <w:spacing w:line="240" w:lineRule="auto"/>
              <w:ind w:left="1" w:hanging="3"/>
              <w:rPr>
                <w:sz w:val="26"/>
                <w:szCs w:val="26"/>
              </w:rPr>
            </w:pPr>
            <w:r>
              <w:rPr>
                <w:b/>
                <w:sz w:val="26"/>
                <w:szCs w:val="26"/>
              </w:rPr>
              <w:t>LĨNH VỰC VĂN HÓA - XÃ HỘI</w:t>
            </w:r>
          </w:p>
        </w:tc>
      </w:tr>
      <w:tr w14:paraId="6EC1E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18F6725">
            <w:pPr>
              <w:pStyle w:val="139"/>
              <w:numPr>
                <w:ilvl w:val="0"/>
                <w:numId w:val="1"/>
              </w:numPr>
              <w:spacing w:line="240" w:lineRule="auto"/>
              <w:ind w:leftChars="0" w:firstLineChars="0"/>
              <w:jc w:val="center"/>
              <w:rPr>
                <w:sz w:val="26"/>
                <w:szCs w:val="26"/>
              </w:rPr>
            </w:pPr>
          </w:p>
        </w:tc>
        <w:tc>
          <w:tcPr>
            <w:tcW w:w="1834" w:type="dxa"/>
            <w:vAlign w:val="center"/>
          </w:tcPr>
          <w:p w14:paraId="2574DC32">
            <w:pPr>
              <w:spacing w:line="240" w:lineRule="auto"/>
              <w:ind w:left="1" w:hanging="3"/>
              <w:jc w:val="both"/>
              <w:rPr>
                <w:sz w:val="26"/>
                <w:szCs w:val="26"/>
              </w:rPr>
            </w:pPr>
            <w:r>
              <w:rPr>
                <w:sz w:val="26"/>
                <w:szCs w:val="26"/>
              </w:rPr>
              <w:t>Chương trình sáng tác Văn học Nghệ thuật</w:t>
            </w:r>
          </w:p>
        </w:tc>
        <w:tc>
          <w:tcPr>
            <w:tcW w:w="2351" w:type="dxa"/>
            <w:vAlign w:val="center"/>
          </w:tcPr>
          <w:p w14:paraId="0F30376B">
            <w:pPr>
              <w:spacing w:line="240" w:lineRule="auto"/>
              <w:ind w:left="0" w:leftChars="0" w:firstLine="0" w:firstLineChars="0"/>
              <w:jc w:val="both"/>
              <w:textAlignment w:val="auto"/>
              <w:outlineLvl w:val="9"/>
              <w:rPr>
                <w:position w:val="0"/>
                <w:sz w:val="26"/>
                <w:szCs w:val="26"/>
                <w:lang w:val="nb-NO" w:eastAsia="vi-VN"/>
              </w:rPr>
            </w:pPr>
            <w:r>
              <w:rPr>
                <w:position w:val="0"/>
                <w:sz w:val="26"/>
                <w:szCs w:val="26"/>
                <w:lang w:val="nb-NO" w:eastAsia="vi-VN"/>
              </w:rPr>
              <w:t>- Thường trực</w:t>
            </w:r>
          </w:p>
          <w:p w14:paraId="47CAC1C3">
            <w:pPr>
              <w:spacing w:line="240" w:lineRule="auto"/>
              <w:ind w:left="0" w:leftChars="0" w:firstLine="0" w:firstLineChars="0"/>
              <w:jc w:val="both"/>
              <w:textAlignment w:val="auto"/>
              <w:outlineLvl w:val="9"/>
              <w:rPr>
                <w:position w:val="0"/>
                <w:sz w:val="26"/>
                <w:szCs w:val="26"/>
                <w:lang w:val="nb-NO" w:eastAsia="vi-VN"/>
              </w:rPr>
            </w:pPr>
            <w:r>
              <w:rPr>
                <w:position w:val="0"/>
                <w:sz w:val="26"/>
                <w:szCs w:val="26"/>
                <w:lang w:val="nb-NO" w:eastAsia="vi-VN"/>
              </w:rPr>
              <w:t xml:space="preserve">UBND Thành phố phụ trách: Đ/c Phan Văn Mãi, Chủ tịch Ủy ban </w:t>
            </w:r>
            <w:r>
              <w:rPr>
                <w:spacing w:val="-4"/>
                <w:position w:val="0"/>
                <w:sz w:val="26"/>
                <w:szCs w:val="26"/>
                <w:lang w:val="nb-NO" w:eastAsia="vi-VN"/>
              </w:rPr>
              <w:t>nhân dân Thành phố</w:t>
            </w:r>
          </w:p>
          <w:p w14:paraId="48783107">
            <w:pPr>
              <w:spacing w:line="240" w:lineRule="auto"/>
              <w:ind w:left="1" w:hanging="3"/>
              <w:jc w:val="both"/>
              <w:rPr>
                <w:sz w:val="26"/>
                <w:szCs w:val="26"/>
              </w:rPr>
            </w:pPr>
            <w:r>
              <w:rPr>
                <w:position w:val="0"/>
                <w:sz w:val="26"/>
                <w:szCs w:val="26"/>
                <w:lang w:val="nb-NO" w:eastAsia="vi-VN"/>
              </w:rPr>
              <w:t>- Đơn vị chủ trì: Sở Văn hóa và Thể thao</w:t>
            </w:r>
          </w:p>
        </w:tc>
        <w:tc>
          <w:tcPr>
            <w:tcW w:w="3178"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5FDB58E">
            <w:pPr>
              <w:spacing w:line="240" w:lineRule="auto"/>
              <w:ind w:left="1" w:right="140" w:hanging="3"/>
              <w:jc w:val="both"/>
              <w:rPr>
                <w:sz w:val="26"/>
                <w:szCs w:val="26"/>
              </w:rPr>
            </w:pPr>
            <w:r>
              <w:rPr>
                <w:sz w:val="26"/>
                <w:szCs w:val="26"/>
              </w:rPr>
              <w:t>1. Tổ chức đợt sáng tác văn học nghệ thuật rộng rãi, chất lượng;</w:t>
            </w:r>
          </w:p>
          <w:p w14:paraId="312AE486">
            <w:pPr>
              <w:spacing w:line="240" w:lineRule="auto"/>
              <w:ind w:left="1" w:right="140" w:hanging="3"/>
              <w:jc w:val="both"/>
              <w:rPr>
                <w:sz w:val="26"/>
                <w:szCs w:val="26"/>
              </w:rPr>
            </w:pPr>
            <w:r>
              <w:rPr>
                <w:sz w:val="26"/>
                <w:szCs w:val="26"/>
              </w:rPr>
              <w:t>2. Chọn 50 tác phẩm có giá trị;</w:t>
            </w:r>
          </w:p>
          <w:p w14:paraId="558DBDA6">
            <w:pPr>
              <w:spacing w:line="240" w:lineRule="auto"/>
              <w:ind w:left="1" w:right="140" w:hanging="3"/>
              <w:jc w:val="both"/>
              <w:rPr>
                <w:sz w:val="26"/>
                <w:szCs w:val="26"/>
              </w:rPr>
            </w:pPr>
            <w:r>
              <w:rPr>
                <w:sz w:val="26"/>
                <w:szCs w:val="26"/>
              </w:rPr>
              <w:t>3. Tổ chức dàn dựng, quảng bá, phổ biến các tác phẩm, tác giả trong cuộc vận động sáng tác và các tác phẩm được bình chọn và tuyên dương của Thành phố;</w:t>
            </w:r>
          </w:p>
          <w:p w14:paraId="39B16265">
            <w:pPr>
              <w:spacing w:line="240" w:lineRule="auto"/>
              <w:ind w:left="1" w:right="140" w:hanging="3"/>
              <w:jc w:val="both"/>
              <w:rPr>
                <w:sz w:val="26"/>
                <w:szCs w:val="26"/>
              </w:rPr>
            </w:pPr>
            <w:r>
              <w:rPr>
                <w:sz w:val="26"/>
                <w:szCs w:val="26"/>
              </w:rPr>
              <w:t>4. Biên soạn tuyển tập các tác phẩm văn học nghệ thuật về lịch sử hình thành và phát triển Đoàn Văn công Giải phóng miền Nam. (Điều chỉnh tên gọi:  Biên soạn, xuất bản và quảng bá công trình Sách về Đoàn Văn công giải phóng Miền Nam tại Công văn số 5637/SVHTT-TCPC ngày 06 tháng 11 năm 2023 của Sở Văn hóa và Thể thao</w:t>
            </w:r>
            <w:r>
              <w:rPr>
                <w:sz w:val="26"/>
                <w:szCs w:val="26"/>
                <w:highlight w:val="none"/>
              </w:rPr>
              <w:t xml:space="preserve"> gửi Ban Thi đua </w:t>
            </w:r>
            <w:r>
              <w:rPr>
                <w:rFonts w:hint="default"/>
                <w:sz w:val="26"/>
                <w:szCs w:val="26"/>
                <w:highlight w:val="none"/>
                <w:lang w:val="en-US"/>
              </w:rPr>
              <w:t>-</w:t>
            </w:r>
            <w:r>
              <w:rPr>
                <w:sz w:val="26"/>
                <w:szCs w:val="26"/>
                <w:highlight w:val="none"/>
              </w:rPr>
              <w:t xml:space="preserve"> Khen thưởng</w:t>
            </w:r>
            <w:r>
              <w:rPr>
                <w:rFonts w:hint="default"/>
                <w:sz w:val="26"/>
                <w:szCs w:val="26"/>
                <w:highlight w:val="none"/>
                <w:lang w:val="en-US"/>
              </w:rPr>
              <w:t>, Sở Nội vụ</w:t>
            </w:r>
            <w:r>
              <w:rPr>
                <w:sz w:val="26"/>
                <w:szCs w:val="26"/>
              </w:rPr>
              <w:t>)</w:t>
            </w:r>
          </w:p>
          <w:p w14:paraId="65189568">
            <w:pPr>
              <w:spacing w:line="240" w:lineRule="auto"/>
              <w:ind w:left="1" w:right="140" w:hanging="3"/>
              <w:jc w:val="both"/>
              <w:rPr>
                <w:sz w:val="26"/>
                <w:szCs w:val="26"/>
              </w:rPr>
            </w:pPr>
            <w:r>
              <w:rPr>
                <w:sz w:val="26"/>
                <w:szCs w:val="26"/>
              </w:rPr>
              <w:t xml:space="preserve"> </w:t>
            </w:r>
          </w:p>
        </w:tc>
        <w:tc>
          <w:tcPr>
            <w:tcW w:w="1689" w:type="dxa"/>
            <w:tcBorders>
              <w:top w:val="single" w:color="000000" w:sz="6" w:space="0"/>
              <w:left w:val="nil"/>
              <w:bottom w:val="single" w:color="000000" w:sz="6" w:space="0"/>
              <w:right w:val="single" w:color="000000" w:sz="6" w:space="0"/>
            </w:tcBorders>
            <w:tcMar>
              <w:top w:w="0" w:type="dxa"/>
              <w:left w:w="100" w:type="dxa"/>
              <w:bottom w:w="0" w:type="dxa"/>
              <w:right w:w="100" w:type="dxa"/>
            </w:tcMar>
          </w:tcPr>
          <w:p w14:paraId="7B289304">
            <w:pPr>
              <w:spacing w:line="240" w:lineRule="auto"/>
              <w:ind w:left="1" w:right="140" w:hanging="3"/>
              <w:jc w:val="both"/>
              <w:rPr>
                <w:sz w:val="26"/>
                <w:szCs w:val="26"/>
              </w:rPr>
            </w:pPr>
            <w:r>
              <w:rPr>
                <w:sz w:val="26"/>
                <w:szCs w:val="26"/>
              </w:rPr>
              <w:t>Hoàn thành dịp 30/4/2025</w:t>
            </w:r>
          </w:p>
        </w:tc>
        <w:tc>
          <w:tcPr>
            <w:tcW w:w="4961" w:type="dxa"/>
            <w:tcBorders>
              <w:top w:val="single" w:color="000000" w:sz="6" w:space="0"/>
              <w:left w:val="nil"/>
              <w:bottom w:val="single" w:color="000000" w:sz="6" w:space="0"/>
              <w:right w:val="single" w:color="000000" w:sz="6" w:space="0"/>
            </w:tcBorders>
            <w:tcMar>
              <w:top w:w="0" w:type="dxa"/>
              <w:left w:w="100" w:type="dxa"/>
              <w:bottom w:w="0" w:type="dxa"/>
              <w:right w:w="100" w:type="dxa"/>
            </w:tcMar>
          </w:tcPr>
          <w:p w14:paraId="5E9CF14B">
            <w:pPr>
              <w:spacing w:line="240" w:lineRule="auto"/>
              <w:ind w:left="1" w:hanging="3"/>
              <w:jc w:val="both"/>
              <w:rPr>
                <w:sz w:val="26"/>
                <w:szCs w:val="26"/>
              </w:rPr>
            </w:pPr>
            <w:r>
              <w:rPr>
                <w:sz w:val="26"/>
                <w:szCs w:val="26"/>
              </w:rPr>
              <w:t>1. Cuộc vận động sáng tác và dàn dựng, quảng bá tác phẩm văn học, nghệ thuật hướng đến kỷ niệm 50 năm Ngày Giải phóng miền Nam, thống nhất đất nước (30/04/1975 - 30/04/2025): trình Ủy ban nhân dân Thành phố ban hành Kế hoạch số 2932/KH-UBND ngày 15 tháng 6 năm 2023 về tổ chức Cuộc vận động sáng tác và dàn dựng, quảng bá tác phẩm văn học, nghệ thuật hướng đến kỷ niệm 50 năm Ngày Giải phóng miền Nam, thống nhất đất nước (30/04/1975 - 30/04/2025), chủ đề: “Thành phố Hồ Chí Minh - 50 năm tự hào bản anh hùng ca”. Hiện tại, Sở Văn hóa và Thể thao đã thực hiện các bước đánh mã số, phân loại và đang nhân bản các tác phẩm một cách khoa học nhất để chuyển đến các thành viên Hội đồng ngay sau khi có Quyết định thành lập của Ủy ban nhân dân Thành phố. Dự kiến, chương trình công bố và trao giải thưởng Cuộc vận động sáng tác văn học, nghệ thuật chủ đề: “Thành phố Hồ Chí Minh - 50 năm tự hào bản anh hùng ca” sẽ diễn ra vào cuối tháng 12 năm 2024.</w:t>
            </w:r>
          </w:p>
          <w:p w14:paraId="45E1B95D">
            <w:pPr>
              <w:spacing w:line="240" w:lineRule="auto"/>
              <w:ind w:left="1" w:hanging="3"/>
              <w:jc w:val="both"/>
              <w:rPr>
                <w:sz w:val="26"/>
                <w:szCs w:val="26"/>
              </w:rPr>
            </w:pPr>
            <w:r>
              <w:rPr>
                <w:sz w:val="26"/>
                <w:szCs w:val="26"/>
              </w:rPr>
              <w:t>2. Bình chọn và tuyên dương 50 tác phẩm văn học - nghệ thuật tiêu biểu của Thành phố hướng đến kỷ niệm 50 năm Ngày Giải phóng miền Nam, thống nhất đất nước (30/4/1975 – 30/4/2025): trình Ủy ban nhân dân Thành phố ban hành Kế hoạch số 4296/KH-UBND ngày 06 tháng 9 năm 2023 về Bình chọn và tuyên dương các tác phẩm văn học - nghệ thuật tiêu biểu của Thành phố hướng đến kỷ niệm 50 năm Ngày Giải phóng miền Nam, thống nhất đất nước (30/4/1975 - 30/4/2025). Hiện nay, đã tổng hợp đề xuất của các Hội và đang tiến hành họp Hội đồng đề cử chuyên ngành (theo Quyết định số 5524/QĐ-UBND ngày 24 tháng 11 năm 2023 của Ủy ban nhân dân Thành phố). Tuy nhiên do có sự thay đổi về nhân sự của Hội đồng vì lý do khách quan nên Sở Văn hóa và Thể thao đang phối hợp với Sở Nội vụ trình Ủy ban nhân dân Thành phố ra Quyết định thành lập theo đúng quy định, ngay sau khi có Quyết định sẽ tiến hành họp Hội đồng đề cử chuyên ngành, đồng thời đang lập trang thông tin điện tử để đưa các tác phẩm văn học nghệ thuật lên trang thông tin điện tử đến công chúng bình chọn. Dự kiến, chương trình công bố kết quả vào tháng 01 năm 2025. Sau khi công bố kết quả và tuyên dương các tác phẩm văn học nghệ thuật tiêu biểu của Thành phố sẽ được Ban Tổ chức dàn dựng, phổ biến rộng rãi, góp phần lan tỏa các tác phẩm trong đời sống xã hội, thiết thực chào mừng 50 năm giải phóng miền nam, thống nhất đất nước và các ngày lễ lớn, các sự kiện trọng đại của Thành phố và đất nước trong năm 2025.</w:t>
            </w:r>
          </w:p>
          <w:p w14:paraId="7F910CEF">
            <w:pPr>
              <w:spacing w:line="240" w:lineRule="auto"/>
              <w:ind w:left="0" w:leftChars="0" w:hanging="2" w:firstLineChars="0"/>
              <w:jc w:val="both"/>
              <w:rPr>
                <w:sz w:val="26"/>
                <w:szCs w:val="26"/>
              </w:rPr>
            </w:pPr>
            <w:r>
              <w:rPr>
                <w:sz w:val="26"/>
                <w:szCs w:val="26"/>
              </w:rPr>
              <w:t>3. Tổ chức dàn dựng, quảng bá, phổ biến các tác phẩm, tác giả trong cuộc vận động sáng tác và các tác phẩm được bình chọn và tuyên dương của Thành phố: Đang dự thảo kế hoạch và triển khai thực sau khi có kết quả của Cuộc vận động sáng tác và Bình chọn và tuyên dương các tác phẩm văn học nghệ thuật nêu trên.</w:t>
            </w:r>
          </w:p>
          <w:p w14:paraId="7AAA1918">
            <w:pPr>
              <w:spacing w:line="240" w:lineRule="auto"/>
              <w:ind w:left="0" w:leftChars="0" w:firstLine="0" w:firstLineChars="0"/>
              <w:jc w:val="both"/>
              <w:rPr>
                <w:sz w:val="26"/>
                <w:szCs w:val="26"/>
              </w:rPr>
            </w:pPr>
            <w:r>
              <w:rPr>
                <w:sz w:val="26"/>
                <w:szCs w:val="26"/>
              </w:rPr>
              <w:t>4.  Biên soạn, xuất bản và quảng bá công trình Sách về Đoàn Văn công giải phóng Miền Nam: Bước đầu đã phác thảo đề cương công trình, xác định đối tượng, phạm vi và phương pháp nghiên cứu. Hiện nay, Sở Văn hóa và Thể thao đang tổng hợp tư liệu và phối hợp với các đơn vị liên quan chuẩn bị trong công tác in ấn.</w:t>
            </w:r>
          </w:p>
        </w:tc>
        <w:tc>
          <w:tcPr>
            <w:tcW w:w="992" w:type="dxa"/>
            <w:gridSpan w:val="2"/>
            <w:tcBorders>
              <w:top w:val="single" w:color="000000" w:sz="6" w:space="0"/>
              <w:left w:val="nil"/>
              <w:bottom w:val="single" w:color="000000" w:sz="6" w:space="0"/>
              <w:right w:val="single" w:color="000000" w:sz="6" w:space="0"/>
            </w:tcBorders>
            <w:tcMar>
              <w:top w:w="0" w:type="dxa"/>
              <w:left w:w="100" w:type="dxa"/>
              <w:bottom w:w="0" w:type="dxa"/>
              <w:right w:w="100" w:type="dxa"/>
            </w:tcMar>
          </w:tcPr>
          <w:p w14:paraId="6A9199B0">
            <w:pPr>
              <w:spacing w:line="240" w:lineRule="auto"/>
              <w:ind w:left="1" w:right="140" w:hanging="3"/>
              <w:jc w:val="both"/>
              <w:rPr>
                <w:sz w:val="26"/>
                <w:szCs w:val="26"/>
              </w:rPr>
            </w:pPr>
          </w:p>
        </w:tc>
      </w:tr>
      <w:tr w14:paraId="46A471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0708891">
            <w:pPr>
              <w:pStyle w:val="139"/>
              <w:numPr>
                <w:ilvl w:val="0"/>
                <w:numId w:val="1"/>
              </w:numPr>
              <w:spacing w:line="240" w:lineRule="auto"/>
              <w:ind w:leftChars="0" w:firstLineChars="0"/>
              <w:jc w:val="both"/>
              <w:rPr>
                <w:sz w:val="26"/>
                <w:szCs w:val="26"/>
              </w:rPr>
            </w:pPr>
          </w:p>
        </w:tc>
        <w:tc>
          <w:tcPr>
            <w:tcW w:w="1834" w:type="dxa"/>
            <w:vAlign w:val="center"/>
          </w:tcPr>
          <w:p w14:paraId="1833D45B">
            <w:pPr>
              <w:spacing w:line="240" w:lineRule="auto"/>
              <w:ind w:left="1" w:hanging="3"/>
              <w:jc w:val="both"/>
              <w:rPr>
                <w:sz w:val="26"/>
                <w:szCs w:val="26"/>
              </w:rPr>
            </w:pPr>
            <w:r>
              <w:rPr>
                <w:sz w:val="26"/>
                <w:szCs w:val="26"/>
              </w:rPr>
              <w:t>Công trình xây dựng các thiết chế văn hóa</w:t>
            </w:r>
          </w:p>
        </w:tc>
        <w:tc>
          <w:tcPr>
            <w:tcW w:w="2351" w:type="dxa"/>
            <w:vAlign w:val="center"/>
          </w:tcPr>
          <w:p w14:paraId="17666AF2">
            <w:pPr>
              <w:spacing w:line="240" w:lineRule="auto"/>
              <w:ind w:left="0" w:leftChars="0" w:firstLine="0" w:firstLineChars="0"/>
              <w:jc w:val="both"/>
              <w:textAlignment w:val="auto"/>
              <w:outlineLvl w:val="9"/>
              <w:rPr>
                <w:position w:val="0"/>
                <w:sz w:val="26"/>
                <w:szCs w:val="26"/>
                <w:lang w:val="nb-NO" w:eastAsia="vi-VN"/>
              </w:rPr>
            </w:pPr>
            <w:r>
              <w:rPr>
                <w:position w:val="0"/>
                <w:sz w:val="26"/>
                <w:szCs w:val="26"/>
                <w:lang w:val="nb-NO" w:eastAsia="vi-VN"/>
              </w:rPr>
              <w:t xml:space="preserve">- Thường trực UBND Thành phố phụ trách: </w:t>
            </w:r>
            <w:r>
              <w:rPr>
                <w:spacing w:val="4"/>
                <w:position w:val="0"/>
                <w:sz w:val="26"/>
                <w:szCs w:val="26"/>
                <w:lang w:val="nb-NO" w:eastAsia="vi-VN"/>
              </w:rPr>
              <w:t xml:space="preserve">Đ/c Trần Thị Diệu Thúy, </w:t>
            </w:r>
            <w:r>
              <w:rPr>
                <w:position w:val="0"/>
                <w:sz w:val="26"/>
                <w:szCs w:val="26"/>
                <w:lang w:val="nb-NO" w:eastAsia="vi-VN"/>
              </w:rPr>
              <w:t>Phó Chủ tịch Ủy ban nhân dân Thành phố</w:t>
            </w:r>
          </w:p>
          <w:p w14:paraId="4F218F1E">
            <w:pPr>
              <w:spacing w:line="240" w:lineRule="auto"/>
              <w:ind w:left="1" w:hanging="3"/>
              <w:jc w:val="both"/>
              <w:rPr>
                <w:sz w:val="26"/>
                <w:szCs w:val="26"/>
              </w:rPr>
            </w:pPr>
            <w:r>
              <w:rPr>
                <w:position w:val="0"/>
                <w:sz w:val="26"/>
                <w:szCs w:val="26"/>
                <w:lang w:val="nb-NO" w:eastAsia="vi-VN"/>
              </w:rPr>
              <w:t>- Đơn vị chủ trì: Sở Văn hóa và Thể thao</w:t>
            </w:r>
          </w:p>
        </w:tc>
        <w:tc>
          <w:tcPr>
            <w:tcW w:w="3178" w:type="dxa"/>
            <w:vAlign w:val="center"/>
          </w:tcPr>
          <w:p w14:paraId="557C5D7F">
            <w:pPr>
              <w:spacing w:line="240" w:lineRule="auto"/>
              <w:ind w:left="1" w:hanging="3"/>
              <w:jc w:val="both"/>
              <w:rPr>
                <w:sz w:val="26"/>
                <w:szCs w:val="26"/>
              </w:rPr>
            </w:pPr>
            <w:r>
              <w:rPr>
                <w:sz w:val="26"/>
                <w:szCs w:val="26"/>
              </w:rPr>
              <w:t>- Dự án Cung Văn hóa thiếu nhi Thành phố Hồ Chí Minh.</w:t>
            </w:r>
          </w:p>
          <w:p w14:paraId="1F1BA4AF">
            <w:pPr>
              <w:spacing w:line="240" w:lineRule="auto"/>
              <w:ind w:left="1" w:hanging="3"/>
              <w:jc w:val="both"/>
              <w:rPr>
                <w:sz w:val="26"/>
                <w:szCs w:val="26"/>
              </w:rPr>
            </w:pPr>
            <w:r>
              <w:rPr>
                <w:sz w:val="26"/>
                <w:szCs w:val="26"/>
              </w:rPr>
              <w:t>- Nhà hát Giao hưởng - Nhạc, Vũ kịch tại khu đô thị mới Thủ Thiêm.</w:t>
            </w:r>
          </w:p>
          <w:p w14:paraId="0289955C">
            <w:pPr>
              <w:spacing w:line="240" w:lineRule="auto"/>
              <w:ind w:left="1" w:hanging="3"/>
              <w:jc w:val="both"/>
              <w:rPr>
                <w:sz w:val="26"/>
                <w:szCs w:val="26"/>
              </w:rPr>
            </w:pPr>
            <w:r>
              <w:rPr>
                <w:sz w:val="26"/>
                <w:szCs w:val="26"/>
              </w:rPr>
              <w:t>- Trung tâm biểu diễn Nghệ thuật đa năng tại Khu đô thị mới Thủ Thiêm.</w:t>
            </w:r>
          </w:p>
          <w:p w14:paraId="73339E58">
            <w:pPr>
              <w:spacing w:line="240" w:lineRule="auto"/>
              <w:ind w:left="1" w:hanging="3"/>
              <w:jc w:val="both"/>
              <w:rPr>
                <w:sz w:val="26"/>
                <w:szCs w:val="26"/>
              </w:rPr>
            </w:pPr>
            <w:r>
              <w:rPr>
                <w:sz w:val="26"/>
                <w:szCs w:val="26"/>
              </w:rPr>
              <w:t>- Trung tâm Nghệ thuật truyền thống tại khu trường đua Phú Thọ.</w:t>
            </w:r>
          </w:p>
          <w:p w14:paraId="1E4E9175">
            <w:pPr>
              <w:spacing w:line="240" w:lineRule="auto"/>
              <w:ind w:left="1" w:hanging="3"/>
              <w:jc w:val="both"/>
              <w:rPr>
                <w:sz w:val="26"/>
                <w:szCs w:val="26"/>
              </w:rPr>
            </w:pPr>
            <w:r>
              <w:rPr>
                <w:sz w:val="26"/>
                <w:szCs w:val="26"/>
              </w:rPr>
              <w:t>- Xây dựng mới Rạp xiếc và Biểu diễn đa năng Phú Thọ.</w:t>
            </w:r>
          </w:p>
        </w:tc>
        <w:tc>
          <w:tcPr>
            <w:tcW w:w="1689" w:type="dxa"/>
            <w:vAlign w:val="center"/>
          </w:tcPr>
          <w:p w14:paraId="472EE6E2">
            <w:pPr>
              <w:spacing w:line="240" w:lineRule="auto"/>
              <w:ind w:left="1" w:hanging="3"/>
              <w:jc w:val="both"/>
              <w:rPr>
                <w:sz w:val="26"/>
                <w:szCs w:val="26"/>
              </w:rPr>
            </w:pPr>
            <w:r>
              <w:rPr>
                <w:sz w:val="26"/>
                <w:szCs w:val="26"/>
              </w:rPr>
              <w:t>- Khởi công dịp 30/4/2025</w:t>
            </w:r>
          </w:p>
          <w:p w14:paraId="6D5C3A79">
            <w:pPr>
              <w:spacing w:line="240" w:lineRule="auto"/>
              <w:ind w:left="1" w:hanging="3"/>
              <w:jc w:val="both"/>
              <w:rPr>
                <w:sz w:val="26"/>
                <w:szCs w:val="26"/>
              </w:rPr>
            </w:pPr>
            <w:r>
              <w:rPr>
                <w:sz w:val="26"/>
                <w:szCs w:val="26"/>
              </w:rPr>
              <w:t>- Khởi công dịp 30/4/2025</w:t>
            </w:r>
          </w:p>
          <w:p w14:paraId="063C3403">
            <w:pPr>
              <w:spacing w:line="240" w:lineRule="auto"/>
              <w:ind w:left="1" w:hanging="3"/>
              <w:jc w:val="both"/>
              <w:rPr>
                <w:sz w:val="26"/>
                <w:szCs w:val="26"/>
              </w:rPr>
            </w:pPr>
            <w:r>
              <w:rPr>
                <w:sz w:val="26"/>
                <w:szCs w:val="26"/>
              </w:rPr>
              <w:t>- Khởi công dịp 30/4/2025</w:t>
            </w:r>
          </w:p>
          <w:p w14:paraId="4EA41AE6">
            <w:pPr>
              <w:spacing w:line="240" w:lineRule="auto"/>
              <w:ind w:left="1" w:hanging="3"/>
              <w:jc w:val="both"/>
              <w:rPr>
                <w:sz w:val="26"/>
                <w:szCs w:val="26"/>
              </w:rPr>
            </w:pPr>
            <w:r>
              <w:rPr>
                <w:sz w:val="26"/>
                <w:szCs w:val="26"/>
              </w:rPr>
              <w:t>- Khởi công dịp 30/4/2025</w:t>
            </w:r>
          </w:p>
          <w:p w14:paraId="08A8D229">
            <w:pPr>
              <w:spacing w:line="240" w:lineRule="auto"/>
              <w:ind w:left="1" w:hanging="3"/>
              <w:jc w:val="both"/>
              <w:rPr>
                <w:sz w:val="26"/>
                <w:szCs w:val="26"/>
              </w:rPr>
            </w:pPr>
            <w:r>
              <w:rPr>
                <w:sz w:val="26"/>
                <w:szCs w:val="26"/>
              </w:rPr>
              <w:t>- Hoàn thành dịp 30/4/2025</w:t>
            </w:r>
          </w:p>
        </w:tc>
        <w:tc>
          <w:tcPr>
            <w:tcW w:w="4961" w:type="dxa"/>
            <w:tcMar>
              <w:top w:w="0" w:type="dxa"/>
              <w:left w:w="180" w:type="dxa"/>
              <w:bottom w:w="0" w:type="dxa"/>
              <w:right w:w="180" w:type="dxa"/>
            </w:tcMar>
          </w:tcPr>
          <w:p w14:paraId="4F9311E3">
            <w:pPr>
              <w:spacing w:line="240" w:lineRule="auto"/>
              <w:ind w:left="1" w:hanging="3"/>
              <w:jc w:val="both"/>
              <w:rPr>
                <w:sz w:val="26"/>
                <w:szCs w:val="26"/>
              </w:rPr>
            </w:pPr>
            <w:r>
              <w:rPr>
                <w:sz w:val="26"/>
                <w:szCs w:val="26"/>
              </w:rPr>
              <w:t>- Dự án Cung Văn hóa thiếu nhi Thành phố Hồ Chí Minh: đã thực hiện các công tác chuẩn bị dự án, tư vấn lập, thẩm định báo cáo nghiên cứu khả thi. Kiến nghị: Ủy ban nhân dân Thành phố có Quyết định chấp thuận phương án kiến trúc trúng tuyển đã hiệu chỉnh của Công ty TNHH Khảo sát Thiết kế Tư vấn Sài Gòn S.A.C.D và cho phép đơn vị thực hiện Báo cáo nghiên cứu khả thi và tư vấn thiết kế xây dựng dự án; đồng thời chỉ đạo các sở, ngành liên quan hỗ trợ, hướng dẫn, phối hợp đẩy nhanh tiến độ các công việc liên quan giai đoạn thực hiện dự án.</w:t>
            </w:r>
          </w:p>
          <w:p w14:paraId="582204A2">
            <w:pPr>
              <w:spacing w:line="240" w:lineRule="auto"/>
              <w:ind w:left="1" w:hanging="3"/>
              <w:jc w:val="both"/>
              <w:rPr>
                <w:sz w:val="26"/>
                <w:szCs w:val="26"/>
              </w:rPr>
            </w:pPr>
            <w:r>
              <w:rPr>
                <w:sz w:val="26"/>
                <w:szCs w:val="26"/>
              </w:rPr>
              <w:t>- Nhà hát Giao hưởng - Nhạc, Vũ kịch tại khu đô thị mới Thủ Thiêm:  S</w:t>
            </w:r>
            <w:r>
              <w:rPr>
                <w:sz w:val="26"/>
                <w:szCs w:val="26"/>
                <w:highlight w:val="white"/>
              </w:rPr>
              <w:t xml:space="preserve">ở Văn hóa và Thể thao đã phối hợp với Ban Dân dụng và Công nghiệp tổ chức triển lãm các phương án đoạt giải cuộc thi tuyển Phương án thiết kế kiến trúc công trình Nhà hát Giao hưởng, Nhạc và Vũ kịch (từ ngày 20/8/2024 đến 05/9/2024). Trên cơ sở kết quả tổng hợp ý kiến của người dân về phương án kiến trúc đoạt giải, Sở Văn hóa và Thể thao sẽ chủ động phối hợp với các </w:t>
            </w:r>
            <w:r>
              <w:rPr>
                <w:spacing w:val="-6"/>
                <w:sz w:val="26"/>
                <w:szCs w:val="26"/>
                <w:highlight w:val="white"/>
              </w:rPr>
              <w:t>sở ngành có liên quan thực hiện theo chỉ đạo</w:t>
            </w:r>
            <w:r>
              <w:rPr>
                <w:spacing w:val="-6"/>
                <w:sz w:val="26"/>
                <w:szCs w:val="26"/>
              </w:rPr>
              <w:t>.</w:t>
            </w:r>
          </w:p>
          <w:p w14:paraId="2C18AC85">
            <w:pPr>
              <w:spacing w:line="240" w:lineRule="auto"/>
              <w:ind w:left="1" w:hanging="3"/>
              <w:jc w:val="both"/>
              <w:rPr>
                <w:sz w:val="26"/>
                <w:szCs w:val="26"/>
              </w:rPr>
            </w:pPr>
            <w:r>
              <w:rPr>
                <w:sz w:val="26"/>
                <w:szCs w:val="26"/>
              </w:rPr>
              <w:t xml:space="preserve">- Trung tâm biểu diễn Nghệ thuật đa năng tại Khu đô thị mới Thủ Thiêm: đang phối hợp Sở Kế hoạch và Đầu tư tham mưu Ủy ban nhân dân Thành phố trình Hội đồng nhân dân Thành phố thông qua danh mục thực hiện theo </w:t>
            </w:r>
            <w:r>
              <w:rPr>
                <w:spacing w:val="-6"/>
                <w:sz w:val="26"/>
                <w:szCs w:val="26"/>
              </w:rPr>
              <w:t>phương thức đối tác công tư trong kỳ họp sắp tới.</w:t>
            </w:r>
          </w:p>
          <w:p w14:paraId="499F32D9">
            <w:pPr>
              <w:spacing w:line="240" w:lineRule="auto"/>
              <w:ind w:left="1" w:hanging="3"/>
              <w:jc w:val="both"/>
              <w:rPr>
                <w:sz w:val="26"/>
                <w:szCs w:val="26"/>
              </w:rPr>
            </w:pPr>
            <w:r>
              <w:rPr>
                <w:sz w:val="26"/>
                <w:szCs w:val="26"/>
              </w:rPr>
              <w:t xml:space="preserve">- Trung tâm Nghệ thuật truyền thống tại khu trường đua Phú Thọ: đã tham mưu hoàn thiện hồ sơ Báo cáo nghiên cứu tiền khả thi đối với dự án; đang phối hợp Sở Kế hoạch và Đầu tư thẩm định trình cơ quan có thẩm quyền xem xét, phê duyệt chủ </w:t>
            </w:r>
            <w:r>
              <w:rPr>
                <w:spacing w:val="-8"/>
                <w:sz w:val="26"/>
                <w:szCs w:val="26"/>
              </w:rPr>
              <w:t>trương đầu tư và bố trí vốn để thực hiện dự án.</w:t>
            </w:r>
          </w:p>
          <w:p w14:paraId="7B6E8213">
            <w:pPr>
              <w:spacing w:line="240" w:lineRule="auto"/>
              <w:ind w:left="1" w:hanging="3"/>
              <w:jc w:val="both"/>
              <w:rPr>
                <w:sz w:val="26"/>
                <w:szCs w:val="26"/>
              </w:rPr>
            </w:pPr>
            <w:r>
              <w:rPr>
                <w:sz w:val="26"/>
                <w:szCs w:val="26"/>
              </w:rPr>
              <w:t>- Xây dựng mới Rạp xiếc và Biểu diễn đa năng Phú Thọ:  hoàn thành thi công xây lắp, hoàn thành công tác đấu thầu gói thiết bị (không bao gồm thiết bị sân khấu 2.000 chổ). Hiện nay đang xây dựng phần thô đến tầng 8 (tổng cộng 12 tầng). Công tác hoàn thiện đến tầng 5. Dự kiến bàn giao cho Sở Văn hóa và Thể thao vào đầu tháng 3 năm 2025. Dự án dự kiến hoàn thành vào ngày 30 tháng 4 năm 2025 theo đúng tiến độ đề ra.</w:t>
            </w:r>
          </w:p>
        </w:tc>
        <w:tc>
          <w:tcPr>
            <w:tcW w:w="992" w:type="dxa"/>
            <w:gridSpan w:val="2"/>
            <w:vAlign w:val="center"/>
          </w:tcPr>
          <w:p w14:paraId="59810B89">
            <w:pPr>
              <w:spacing w:line="240" w:lineRule="auto"/>
              <w:ind w:left="1" w:hanging="3"/>
              <w:jc w:val="center"/>
              <w:rPr>
                <w:sz w:val="26"/>
                <w:szCs w:val="26"/>
              </w:rPr>
            </w:pPr>
          </w:p>
        </w:tc>
      </w:tr>
      <w:tr w14:paraId="40624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DAA74DC">
            <w:pPr>
              <w:pStyle w:val="139"/>
              <w:numPr>
                <w:ilvl w:val="0"/>
                <w:numId w:val="1"/>
              </w:numPr>
              <w:spacing w:line="240" w:lineRule="auto"/>
              <w:ind w:leftChars="0" w:firstLineChars="0"/>
              <w:jc w:val="both"/>
              <w:rPr>
                <w:sz w:val="26"/>
                <w:szCs w:val="26"/>
              </w:rPr>
            </w:pPr>
          </w:p>
        </w:tc>
        <w:tc>
          <w:tcPr>
            <w:tcW w:w="1834" w:type="dxa"/>
            <w:vAlign w:val="center"/>
          </w:tcPr>
          <w:p w14:paraId="7F51E26D">
            <w:pPr>
              <w:spacing w:line="240" w:lineRule="auto"/>
              <w:ind w:left="1" w:hanging="3"/>
              <w:jc w:val="both"/>
              <w:rPr>
                <w:sz w:val="26"/>
                <w:szCs w:val="26"/>
              </w:rPr>
            </w:pPr>
            <w:r>
              <w:rPr>
                <w:sz w:val="26"/>
                <w:szCs w:val="26"/>
              </w:rPr>
              <w:t>Công trình xây dựng các thiết chế thể thao</w:t>
            </w:r>
          </w:p>
        </w:tc>
        <w:tc>
          <w:tcPr>
            <w:tcW w:w="2351" w:type="dxa"/>
            <w:vAlign w:val="center"/>
          </w:tcPr>
          <w:p w14:paraId="03686CE2">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5825C230">
            <w:pPr>
              <w:spacing w:line="240" w:lineRule="auto"/>
              <w:ind w:left="1" w:hanging="3"/>
              <w:jc w:val="both"/>
              <w:rPr>
                <w:sz w:val="26"/>
                <w:szCs w:val="26"/>
              </w:rPr>
            </w:pPr>
            <w:r>
              <w:rPr>
                <w:sz w:val="26"/>
                <w:szCs w:val="26"/>
              </w:rPr>
              <w:t>- Đơn vị chủ trì: Sở Văn hóa và Thể thao</w:t>
            </w:r>
          </w:p>
        </w:tc>
        <w:tc>
          <w:tcPr>
            <w:tcW w:w="3178" w:type="dxa"/>
            <w:vAlign w:val="center"/>
          </w:tcPr>
          <w:p w14:paraId="3B978C18">
            <w:pPr>
              <w:spacing w:line="240" w:lineRule="auto"/>
              <w:ind w:left="1" w:hanging="3"/>
              <w:jc w:val="both"/>
              <w:rPr>
                <w:sz w:val="26"/>
                <w:szCs w:val="26"/>
              </w:rPr>
            </w:pPr>
            <w:r>
              <w:rPr>
                <w:sz w:val="26"/>
                <w:szCs w:val="26"/>
              </w:rPr>
              <w:t>- Xây dựng mới Trung tâm Thể dục thể thao Phan Đình Phùng.</w:t>
            </w:r>
          </w:p>
          <w:p w14:paraId="3FE65AB2">
            <w:pPr>
              <w:spacing w:line="240" w:lineRule="auto"/>
              <w:ind w:left="1" w:hanging="3"/>
              <w:jc w:val="both"/>
              <w:rPr>
                <w:sz w:val="26"/>
                <w:szCs w:val="26"/>
              </w:rPr>
            </w:pPr>
            <w:r>
              <w:rPr>
                <w:sz w:val="26"/>
                <w:szCs w:val="26"/>
              </w:rPr>
              <w:t>- Cải tạo, nâng cấp sân vận động Thống Nhất.</w:t>
            </w:r>
          </w:p>
          <w:p w14:paraId="033240AD">
            <w:pPr>
              <w:spacing w:line="240" w:lineRule="auto"/>
              <w:ind w:left="1" w:hanging="3"/>
              <w:jc w:val="both"/>
              <w:rPr>
                <w:sz w:val="26"/>
                <w:szCs w:val="26"/>
              </w:rPr>
            </w:pPr>
            <w:r>
              <w:rPr>
                <w:sz w:val="26"/>
                <w:szCs w:val="26"/>
              </w:rPr>
              <w:t>- Cải tạo, sửa chữa Nhà thi đấu thể dục thể thao Phú Thọ.</w:t>
            </w:r>
          </w:p>
          <w:p w14:paraId="39E7D070">
            <w:pPr>
              <w:spacing w:line="240" w:lineRule="auto"/>
              <w:ind w:left="1" w:hanging="3"/>
              <w:jc w:val="both"/>
              <w:rPr>
                <w:sz w:val="26"/>
                <w:szCs w:val="26"/>
              </w:rPr>
            </w:pPr>
            <w:r>
              <w:rPr>
                <w:sz w:val="26"/>
                <w:szCs w:val="26"/>
              </w:rPr>
              <w:t xml:space="preserve">- Cải tạo, sửa chữa sân vận động </w:t>
            </w:r>
            <w:r>
              <w:rPr>
                <w:sz w:val="26"/>
                <w:szCs w:val="26"/>
              </w:rPr>
              <w:br w:type="textWrapping"/>
            </w:r>
            <w:r>
              <w:rPr>
                <w:sz w:val="26"/>
                <w:szCs w:val="26"/>
              </w:rPr>
              <w:t>Hoa Lư.</w:t>
            </w:r>
          </w:p>
          <w:p w14:paraId="0D343D3F">
            <w:pPr>
              <w:spacing w:line="240" w:lineRule="auto"/>
              <w:ind w:left="1" w:hanging="3"/>
              <w:jc w:val="both"/>
              <w:rPr>
                <w:sz w:val="26"/>
                <w:szCs w:val="26"/>
              </w:rPr>
            </w:pPr>
            <w:r>
              <w:rPr>
                <w:sz w:val="26"/>
                <w:szCs w:val="26"/>
              </w:rPr>
              <w:t>- Xây dựng mới Trung tâm đào tạo vận động viên năng khiếu thể thao.</w:t>
            </w:r>
          </w:p>
          <w:p w14:paraId="281E5B3A">
            <w:pPr>
              <w:spacing w:line="240" w:lineRule="auto"/>
              <w:ind w:left="1" w:hanging="3"/>
              <w:jc w:val="both"/>
              <w:rPr>
                <w:sz w:val="26"/>
                <w:szCs w:val="26"/>
              </w:rPr>
            </w:pPr>
            <w:r>
              <w:rPr>
                <w:sz w:val="26"/>
                <w:szCs w:val="26"/>
              </w:rPr>
              <w:t>- Cải tạo, sửa chữa Nhà tập luyện thể thao Phú Thọ.</w:t>
            </w:r>
          </w:p>
          <w:p w14:paraId="2F9E8288">
            <w:pPr>
              <w:spacing w:line="240" w:lineRule="auto"/>
              <w:ind w:left="1" w:hanging="3"/>
              <w:jc w:val="both"/>
              <w:rPr>
                <w:sz w:val="26"/>
                <w:szCs w:val="26"/>
              </w:rPr>
            </w:pPr>
            <w:r>
              <w:rPr>
                <w:sz w:val="26"/>
                <w:szCs w:val="26"/>
              </w:rPr>
              <w:t>- Cải tạo, sửa chữa Câu lạc bộ bơi lặn Phú Thọ.</w:t>
            </w:r>
          </w:p>
        </w:tc>
        <w:tc>
          <w:tcPr>
            <w:tcW w:w="1689" w:type="dxa"/>
            <w:vAlign w:val="center"/>
          </w:tcPr>
          <w:p w14:paraId="6F0279AA">
            <w:pPr>
              <w:spacing w:line="240" w:lineRule="auto"/>
              <w:ind w:left="1" w:hanging="3"/>
              <w:jc w:val="both"/>
              <w:rPr>
                <w:sz w:val="26"/>
                <w:szCs w:val="26"/>
              </w:rPr>
            </w:pPr>
            <w:r>
              <w:rPr>
                <w:sz w:val="26"/>
                <w:szCs w:val="26"/>
              </w:rPr>
              <w:t>- Khởi công dịp 30/4/2025</w:t>
            </w:r>
          </w:p>
          <w:p w14:paraId="4D025BEE">
            <w:pPr>
              <w:spacing w:line="240" w:lineRule="auto"/>
              <w:ind w:left="1" w:hanging="3"/>
              <w:jc w:val="both"/>
              <w:rPr>
                <w:sz w:val="26"/>
                <w:szCs w:val="26"/>
              </w:rPr>
            </w:pPr>
            <w:r>
              <w:rPr>
                <w:sz w:val="26"/>
                <w:szCs w:val="26"/>
              </w:rPr>
              <w:t>- Hoàn thành dịp 30/4/2025</w:t>
            </w:r>
          </w:p>
          <w:p w14:paraId="6E8D85F6">
            <w:pPr>
              <w:spacing w:line="240" w:lineRule="auto"/>
              <w:ind w:left="1" w:hanging="3"/>
              <w:jc w:val="both"/>
              <w:rPr>
                <w:sz w:val="26"/>
                <w:szCs w:val="26"/>
              </w:rPr>
            </w:pPr>
            <w:r>
              <w:rPr>
                <w:sz w:val="26"/>
                <w:szCs w:val="26"/>
              </w:rPr>
              <w:t>- Hoàn thành dịp 30/4/2025</w:t>
            </w:r>
          </w:p>
          <w:p w14:paraId="465919AA">
            <w:pPr>
              <w:spacing w:line="240" w:lineRule="auto"/>
              <w:ind w:left="1" w:hanging="3"/>
              <w:jc w:val="both"/>
              <w:rPr>
                <w:sz w:val="26"/>
                <w:szCs w:val="26"/>
              </w:rPr>
            </w:pPr>
            <w:r>
              <w:rPr>
                <w:sz w:val="26"/>
                <w:szCs w:val="26"/>
              </w:rPr>
              <w:t>- Hoàn thành dịp 30/4/2025</w:t>
            </w:r>
          </w:p>
          <w:p w14:paraId="633A6CCA">
            <w:pPr>
              <w:spacing w:line="240" w:lineRule="auto"/>
              <w:ind w:left="1" w:hanging="3"/>
              <w:jc w:val="both"/>
              <w:rPr>
                <w:sz w:val="26"/>
                <w:szCs w:val="26"/>
              </w:rPr>
            </w:pPr>
            <w:r>
              <w:rPr>
                <w:sz w:val="26"/>
                <w:szCs w:val="26"/>
              </w:rPr>
              <w:t>- Khởi công dịp 30/4/2025</w:t>
            </w:r>
          </w:p>
          <w:p w14:paraId="536C8003">
            <w:pPr>
              <w:spacing w:line="240" w:lineRule="auto"/>
              <w:ind w:left="1" w:hanging="3"/>
              <w:jc w:val="both"/>
              <w:rPr>
                <w:sz w:val="26"/>
                <w:szCs w:val="26"/>
              </w:rPr>
            </w:pPr>
            <w:r>
              <w:rPr>
                <w:sz w:val="26"/>
                <w:szCs w:val="26"/>
              </w:rPr>
              <w:t>- Hoàn thành dịp 30/4/2025</w:t>
            </w:r>
          </w:p>
          <w:p w14:paraId="0477CBE2">
            <w:pPr>
              <w:spacing w:line="240" w:lineRule="auto"/>
              <w:ind w:left="1" w:hanging="3"/>
              <w:jc w:val="both"/>
              <w:rPr>
                <w:sz w:val="26"/>
                <w:szCs w:val="26"/>
              </w:rPr>
            </w:pPr>
            <w:r>
              <w:rPr>
                <w:sz w:val="26"/>
                <w:szCs w:val="26"/>
              </w:rPr>
              <w:t>- Hoàn thành dịp 30/4/2025</w:t>
            </w:r>
          </w:p>
        </w:tc>
        <w:tc>
          <w:tcPr>
            <w:tcW w:w="496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02D559F3">
            <w:pPr>
              <w:spacing w:line="240" w:lineRule="auto"/>
              <w:ind w:left="1" w:right="-60" w:hanging="3"/>
              <w:jc w:val="both"/>
              <w:rPr>
                <w:sz w:val="26"/>
                <w:szCs w:val="26"/>
              </w:rPr>
            </w:pPr>
            <w:r>
              <w:rPr>
                <w:sz w:val="26"/>
                <w:szCs w:val="26"/>
              </w:rPr>
              <w:t>- Xây dựng mới Trung tâm Thể dục thể thao Phan Đình Phùng:  đang phối hợp với các cơ quan chức năng rà soát, tham mưu báo cáo nghiên cứu tiền khả thi dự án, báo cáo Ủy ban nhân dân Thành phố xem xét, chỉ đạo.</w:t>
            </w:r>
          </w:p>
          <w:p w14:paraId="669BC969">
            <w:pPr>
              <w:spacing w:line="240" w:lineRule="auto"/>
              <w:ind w:left="1" w:right="-60" w:hanging="3"/>
              <w:jc w:val="both"/>
              <w:rPr>
                <w:sz w:val="26"/>
                <w:szCs w:val="26"/>
              </w:rPr>
            </w:pPr>
            <w:r>
              <w:rPr>
                <w:sz w:val="26"/>
                <w:szCs w:val="26"/>
              </w:rPr>
              <w:t>- Cải tạo, nâng cấp sân vận động Thống Nhất; Cải tạo, sửa chữa Nhà thi đấu thể dục thể thao Phú Thọ; Cải tạo, sửa chữa sân vận động Hoa Lư; Xây dựng mới Trung tâm đào tạo vận động viên năng khiếu thể thao; Cải tạo, sửa chữa Nhà tập luyện thể thao Phú Thọ; Cải tạo, sửa chữa Câu lạc bộ bơi lặn Phú Thọ: các dự án đã trình thẩm định dự án và quyết định chủ trương đầu tư theo quy định. Dự án đã được Hội đồng nhân dân Thành phố thông qua chủ trương đầu tư tại kỳ họp chuyên đề lần thứ 11 ngày 19 tháng 9 năm 2023. Hiện nay, Sở Văn hoá và Thể thao đang phối hợp cùng Ban Quản lý dự án Đầu tư xây dựng các công trình Dân dụng và Công nghiệp (Chủ đầu tư) triển khai các bước tiếp theo của dự án.</w:t>
            </w:r>
          </w:p>
        </w:tc>
        <w:tc>
          <w:tcPr>
            <w:tcW w:w="992" w:type="dxa"/>
            <w:gridSpan w:val="2"/>
            <w:vAlign w:val="center"/>
          </w:tcPr>
          <w:p w14:paraId="018AAED8">
            <w:pPr>
              <w:spacing w:line="240" w:lineRule="auto"/>
              <w:ind w:left="1" w:hanging="3"/>
              <w:jc w:val="center"/>
              <w:rPr>
                <w:sz w:val="26"/>
                <w:szCs w:val="26"/>
              </w:rPr>
            </w:pPr>
          </w:p>
        </w:tc>
      </w:tr>
      <w:tr w14:paraId="3345D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4FBE5C3">
            <w:pPr>
              <w:pStyle w:val="139"/>
              <w:numPr>
                <w:ilvl w:val="0"/>
                <w:numId w:val="1"/>
              </w:numPr>
              <w:spacing w:line="240" w:lineRule="auto"/>
              <w:ind w:leftChars="0" w:firstLineChars="0"/>
              <w:jc w:val="both"/>
              <w:rPr>
                <w:sz w:val="26"/>
                <w:szCs w:val="26"/>
              </w:rPr>
            </w:pPr>
          </w:p>
        </w:tc>
        <w:tc>
          <w:tcPr>
            <w:tcW w:w="1834" w:type="dxa"/>
            <w:vAlign w:val="center"/>
          </w:tcPr>
          <w:p w14:paraId="1EAA33B9">
            <w:pPr>
              <w:spacing w:line="240" w:lineRule="auto"/>
              <w:ind w:left="1" w:hanging="3"/>
              <w:jc w:val="both"/>
              <w:rPr>
                <w:sz w:val="26"/>
                <w:szCs w:val="26"/>
              </w:rPr>
            </w:pPr>
            <w:r>
              <w:rPr>
                <w:sz w:val="26"/>
                <w:szCs w:val="26"/>
              </w:rPr>
              <w:t>Công trình xây dựng, mở rộng các bảo tàng gắn với xây dựng không gian văn hóa Hồ Chí Minh</w:t>
            </w:r>
          </w:p>
        </w:tc>
        <w:tc>
          <w:tcPr>
            <w:tcW w:w="2351" w:type="dxa"/>
            <w:vAlign w:val="center"/>
          </w:tcPr>
          <w:p w14:paraId="028EF76F">
            <w:pPr>
              <w:spacing w:line="240" w:lineRule="auto"/>
              <w:ind w:left="1" w:hanging="3"/>
              <w:jc w:val="both"/>
              <w:rPr>
                <w:sz w:val="26"/>
                <w:szCs w:val="26"/>
              </w:rPr>
            </w:pPr>
            <w:r>
              <w:rPr>
                <w:sz w:val="26"/>
                <w:szCs w:val="26"/>
              </w:rPr>
              <w:t>- Thường trực UBND TP phụ trách:  Đ/c Phan Văn Mãi, Chủ tịch Ủy ban nhân dân Thành phố</w:t>
            </w:r>
          </w:p>
          <w:p w14:paraId="41B70BC8">
            <w:pPr>
              <w:spacing w:line="240" w:lineRule="auto"/>
              <w:ind w:left="1" w:hanging="3"/>
              <w:jc w:val="both"/>
              <w:rPr>
                <w:sz w:val="26"/>
                <w:szCs w:val="26"/>
              </w:rPr>
            </w:pPr>
            <w:r>
              <w:rPr>
                <w:sz w:val="26"/>
                <w:szCs w:val="26"/>
              </w:rPr>
              <w:t>- Đơn vị chủ trì: Ban Quản lý dự án Đầu tư xây dựng các công trình Dân dụng và Công nghiệp; Sở Văn hóa và Thể thao; Sở Xây dựng</w:t>
            </w:r>
          </w:p>
        </w:tc>
        <w:tc>
          <w:tcPr>
            <w:tcW w:w="3178" w:type="dxa"/>
            <w:vAlign w:val="center"/>
          </w:tcPr>
          <w:p w14:paraId="264BC2D0">
            <w:pPr>
              <w:spacing w:line="240" w:lineRule="auto"/>
              <w:ind w:left="1" w:hanging="3"/>
              <w:jc w:val="both"/>
              <w:rPr>
                <w:sz w:val="26"/>
                <w:szCs w:val="26"/>
              </w:rPr>
            </w:pPr>
            <w:r>
              <w:rPr>
                <w:sz w:val="26"/>
                <w:szCs w:val="26"/>
              </w:rPr>
              <w:t>- “Cải tạo, nâng cấp Bảo tàng Hồ Chí Minh - Chi nhánh Thành phố Hồ Chí Minh”.</w:t>
            </w:r>
          </w:p>
          <w:p w14:paraId="437D7729">
            <w:pPr>
              <w:spacing w:line="240" w:lineRule="auto"/>
              <w:ind w:left="1" w:hanging="3"/>
              <w:jc w:val="both"/>
              <w:rPr>
                <w:sz w:val="26"/>
                <w:szCs w:val="26"/>
              </w:rPr>
            </w:pPr>
            <w:r>
              <w:rPr>
                <w:sz w:val="26"/>
                <w:szCs w:val="26"/>
              </w:rPr>
              <w:t>- Xây dựng mới Bảo tàng Tôn Đức Thắng.</w:t>
            </w:r>
          </w:p>
          <w:p w14:paraId="3F513251">
            <w:pPr>
              <w:spacing w:line="240" w:lineRule="auto"/>
              <w:ind w:left="1" w:hanging="3"/>
              <w:jc w:val="both"/>
              <w:rPr>
                <w:sz w:val="26"/>
                <w:szCs w:val="26"/>
              </w:rPr>
            </w:pPr>
            <w:r>
              <w:rPr>
                <w:sz w:val="26"/>
                <w:szCs w:val="26"/>
              </w:rPr>
              <w:t>- Xây dựng Quảng trường Hồ Chí Minh (gồm Nhà sàn Bác Hồ, ao cá Bác Hồ… tại thành phố Thủ Đức).</w:t>
            </w:r>
          </w:p>
        </w:tc>
        <w:tc>
          <w:tcPr>
            <w:tcW w:w="1689" w:type="dxa"/>
            <w:vAlign w:val="center"/>
          </w:tcPr>
          <w:p w14:paraId="29041FC6">
            <w:pPr>
              <w:spacing w:line="240" w:lineRule="auto"/>
              <w:ind w:left="1" w:hanging="3"/>
              <w:jc w:val="both"/>
              <w:rPr>
                <w:sz w:val="26"/>
                <w:szCs w:val="26"/>
              </w:rPr>
            </w:pPr>
            <w:r>
              <w:rPr>
                <w:sz w:val="26"/>
                <w:szCs w:val="26"/>
              </w:rPr>
              <w:t>- Khởi công dịp 30/4/2025</w:t>
            </w:r>
          </w:p>
          <w:p w14:paraId="1E43BA4F">
            <w:pPr>
              <w:spacing w:line="240" w:lineRule="auto"/>
              <w:ind w:left="1" w:hanging="3"/>
              <w:jc w:val="both"/>
              <w:rPr>
                <w:sz w:val="26"/>
                <w:szCs w:val="26"/>
              </w:rPr>
            </w:pPr>
            <w:r>
              <w:rPr>
                <w:sz w:val="26"/>
                <w:szCs w:val="26"/>
              </w:rPr>
              <w:t>- Hoàn thành dịp 30/4/2025</w:t>
            </w:r>
          </w:p>
          <w:p w14:paraId="274F3833">
            <w:pPr>
              <w:spacing w:line="240" w:lineRule="auto"/>
              <w:ind w:left="1" w:hanging="3"/>
              <w:jc w:val="both"/>
              <w:rPr>
                <w:sz w:val="26"/>
                <w:szCs w:val="26"/>
              </w:rPr>
            </w:pPr>
            <w:r>
              <w:rPr>
                <w:sz w:val="26"/>
                <w:szCs w:val="26"/>
              </w:rPr>
              <w:t>- Khởi công dịp 30/4/2025</w:t>
            </w:r>
          </w:p>
        </w:tc>
        <w:tc>
          <w:tcPr>
            <w:tcW w:w="496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52BCBA7">
            <w:pPr>
              <w:spacing w:line="240" w:lineRule="auto"/>
              <w:ind w:left="1" w:right="-60" w:hanging="3"/>
              <w:jc w:val="both"/>
              <w:rPr>
                <w:sz w:val="26"/>
                <w:szCs w:val="26"/>
              </w:rPr>
            </w:pPr>
            <w:r>
              <w:rPr>
                <w:sz w:val="26"/>
                <w:szCs w:val="26"/>
              </w:rPr>
              <w:t>- Cải tạo, nâng cấp Bảo tàng Hồ Chí Minh - Chi nhánh Thành phố Hồ Chí Minh: Ngày 16 tháng 5 năm 2024, Sở Văn hóa và Thể thao đã có Tờ trình số 2228/TTr-SVHTT-KHTC trình thẩm định báo cáo đề xuất chủ trương đầu tư Dự án Cải tạo, nâng cấp Bảo tàng Hồ Chí Minh - Chi nhánh Thành phố Hồ Chí Minh.</w:t>
            </w:r>
          </w:p>
          <w:p w14:paraId="1C309851">
            <w:pPr>
              <w:spacing w:line="240" w:lineRule="auto"/>
              <w:ind w:left="1" w:right="-60" w:hanging="3"/>
              <w:jc w:val="both"/>
              <w:rPr>
                <w:sz w:val="26"/>
                <w:szCs w:val="26"/>
              </w:rPr>
            </w:pPr>
            <w:r>
              <w:rPr>
                <w:sz w:val="26"/>
                <w:szCs w:val="26"/>
              </w:rPr>
              <w:t>- Xây dựng mới Bảo tàng Tôn Đức Thắng: đang triển khai thực hiện theo đúng tiến độ. Dự án dự kiến hoàn thành vào cuối năm 2024 theo đúng Kế hoạch đề ra.</w:t>
            </w:r>
          </w:p>
          <w:p w14:paraId="0F501C51">
            <w:pPr>
              <w:spacing w:line="240" w:lineRule="auto"/>
              <w:ind w:left="1" w:right="-60" w:hanging="3"/>
              <w:jc w:val="both"/>
              <w:rPr>
                <w:sz w:val="26"/>
                <w:szCs w:val="26"/>
              </w:rPr>
            </w:pPr>
            <w:r>
              <w:rPr>
                <w:sz w:val="26"/>
                <w:szCs w:val="26"/>
              </w:rPr>
              <w:t>- Xây dựng Quảng trường Hồ Chí Minh (gồm Nhà sàn Bác Hồ, ao cá Bác Hồ… tại thành phố Thủ Đức): cơ quan chuyên môn đang lập báo cáo nghiên cứu tiền khả thi/báo cáo đề xuất chủ trương đầu tư cho dự án theo quy định…</w:t>
            </w:r>
          </w:p>
        </w:tc>
        <w:tc>
          <w:tcPr>
            <w:tcW w:w="992" w:type="dxa"/>
            <w:gridSpan w:val="2"/>
            <w:vAlign w:val="center"/>
          </w:tcPr>
          <w:p w14:paraId="0F5B0E72">
            <w:pPr>
              <w:spacing w:line="240" w:lineRule="auto"/>
              <w:ind w:left="1" w:hanging="3"/>
              <w:jc w:val="both"/>
              <w:rPr>
                <w:sz w:val="26"/>
                <w:szCs w:val="26"/>
              </w:rPr>
            </w:pPr>
          </w:p>
        </w:tc>
      </w:tr>
      <w:tr w14:paraId="442A8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9231269">
            <w:pPr>
              <w:pStyle w:val="139"/>
              <w:numPr>
                <w:ilvl w:val="0"/>
                <w:numId w:val="1"/>
              </w:numPr>
              <w:spacing w:line="240" w:lineRule="auto"/>
              <w:ind w:leftChars="0" w:firstLineChars="0"/>
              <w:jc w:val="both"/>
              <w:rPr>
                <w:sz w:val="26"/>
                <w:szCs w:val="26"/>
              </w:rPr>
            </w:pPr>
          </w:p>
        </w:tc>
        <w:tc>
          <w:tcPr>
            <w:tcW w:w="1834" w:type="dxa"/>
            <w:vAlign w:val="center"/>
          </w:tcPr>
          <w:p w14:paraId="71860156">
            <w:pPr>
              <w:spacing w:line="240" w:lineRule="auto"/>
              <w:ind w:left="1" w:hanging="3"/>
              <w:jc w:val="both"/>
              <w:rPr>
                <w:sz w:val="26"/>
                <w:szCs w:val="26"/>
              </w:rPr>
            </w:pPr>
            <w:r>
              <w:rPr>
                <w:sz w:val="26"/>
                <w:szCs w:val="26"/>
              </w:rPr>
              <w:t>Công trình tu bổ, tôn tạo các di tích lịch sử</w:t>
            </w:r>
          </w:p>
        </w:tc>
        <w:tc>
          <w:tcPr>
            <w:tcW w:w="2351" w:type="dxa"/>
            <w:vAlign w:val="center"/>
          </w:tcPr>
          <w:p w14:paraId="3CEE2D1D">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18458888">
            <w:pPr>
              <w:spacing w:line="240" w:lineRule="auto"/>
              <w:ind w:left="1" w:hanging="3"/>
              <w:jc w:val="both"/>
              <w:rPr>
                <w:sz w:val="26"/>
                <w:szCs w:val="26"/>
              </w:rPr>
            </w:pPr>
            <w:r>
              <w:rPr>
                <w:sz w:val="26"/>
                <w:szCs w:val="26"/>
              </w:rPr>
              <w:t>- Đơn vị chủ trì: Sở Văn hóa và Thể thao; Ban Quản lý dự án đầu tư xây dựng công trình Khu vực Quận 5</w:t>
            </w:r>
          </w:p>
        </w:tc>
        <w:tc>
          <w:tcPr>
            <w:tcW w:w="3178" w:type="dxa"/>
            <w:vAlign w:val="center"/>
          </w:tcPr>
          <w:p w14:paraId="3E937876">
            <w:pPr>
              <w:spacing w:line="240" w:lineRule="auto"/>
              <w:ind w:left="1" w:hanging="3"/>
              <w:jc w:val="both"/>
              <w:rPr>
                <w:sz w:val="26"/>
                <w:szCs w:val="26"/>
              </w:rPr>
            </w:pPr>
            <w:r>
              <w:rPr>
                <w:sz w:val="26"/>
                <w:szCs w:val="26"/>
              </w:rPr>
              <w:t>Dự án tu bổ, tôn tạo, tái hiện xây dựng mới di tích lịch sử cấp quốc gia Khu trại giam bệnh viện Chợ Quán - Nơi đồng chí Trần Phú hy sinh.</w:t>
            </w:r>
          </w:p>
        </w:tc>
        <w:tc>
          <w:tcPr>
            <w:tcW w:w="1689" w:type="dxa"/>
            <w:vAlign w:val="center"/>
          </w:tcPr>
          <w:p w14:paraId="3A812367">
            <w:pPr>
              <w:spacing w:line="240" w:lineRule="auto"/>
              <w:ind w:left="5" w:leftChars="2" w:firstLine="0" w:firstLineChars="0"/>
              <w:jc w:val="both"/>
              <w:rPr>
                <w:sz w:val="26"/>
                <w:szCs w:val="26"/>
              </w:rPr>
            </w:pPr>
            <w:r>
              <w:rPr>
                <w:sz w:val="26"/>
                <w:szCs w:val="26"/>
              </w:rPr>
              <w:t>Hoàn thành dịp 30/4/2025</w:t>
            </w:r>
          </w:p>
        </w:tc>
        <w:tc>
          <w:tcPr>
            <w:tcW w:w="4961" w:type="dxa"/>
            <w:vAlign w:val="center"/>
          </w:tcPr>
          <w:p w14:paraId="07380CC6">
            <w:pPr>
              <w:spacing w:line="240" w:lineRule="auto"/>
              <w:ind w:left="1" w:right="-60" w:hanging="3"/>
              <w:jc w:val="both"/>
              <w:rPr>
                <w:sz w:val="26"/>
                <w:szCs w:val="26"/>
              </w:rPr>
            </w:pPr>
            <w:r>
              <w:rPr>
                <w:sz w:val="26"/>
                <w:szCs w:val="26"/>
              </w:rPr>
              <w:t>- Dự án tu bổ, tôn tạo, tái hiện xây dựng mới di tích lịch sử cấp quốc gia Khu trại giam bệnh viện Chợ Quán - Nơi đồng chí Trần Phú hy sinh. Đề xuất điều chỉnh tên dự án thành “Dự án Tu bổ, tôn tạo di tích Khu trại giam Bệnh viện Chợ Quán - Nơi đồng chí Trần Phú hy sinh (06/9/1931) - Giai đoạn 1: Dự án được khởi công vào ngày 28 tháng 12 năm 2023, công trình hoàn thành đưa vào sử dụng ngày 24 tháng 4 năm 2024.</w:t>
            </w:r>
          </w:p>
        </w:tc>
        <w:tc>
          <w:tcPr>
            <w:tcW w:w="992" w:type="dxa"/>
            <w:gridSpan w:val="2"/>
            <w:vAlign w:val="center"/>
          </w:tcPr>
          <w:p w14:paraId="0C4EC00E">
            <w:pPr>
              <w:spacing w:line="240" w:lineRule="auto"/>
              <w:ind w:left="1" w:hanging="3"/>
              <w:jc w:val="center"/>
              <w:rPr>
                <w:sz w:val="26"/>
                <w:szCs w:val="26"/>
              </w:rPr>
            </w:pPr>
            <w:r>
              <w:rPr>
                <w:sz w:val="26"/>
                <w:szCs w:val="26"/>
              </w:rPr>
              <w:t>Đã hoàn thành</w:t>
            </w:r>
          </w:p>
        </w:tc>
      </w:tr>
      <w:tr w14:paraId="315F3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FA71EC1">
            <w:pPr>
              <w:pStyle w:val="139"/>
              <w:numPr>
                <w:ilvl w:val="0"/>
                <w:numId w:val="1"/>
              </w:numPr>
              <w:spacing w:line="240" w:lineRule="auto"/>
              <w:ind w:leftChars="0" w:firstLineChars="0"/>
              <w:jc w:val="both"/>
              <w:rPr>
                <w:sz w:val="26"/>
                <w:szCs w:val="26"/>
              </w:rPr>
            </w:pPr>
          </w:p>
        </w:tc>
        <w:tc>
          <w:tcPr>
            <w:tcW w:w="1834" w:type="dxa"/>
            <w:vAlign w:val="center"/>
          </w:tcPr>
          <w:p w14:paraId="39539134">
            <w:pPr>
              <w:spacing w:line="240" w:lineRule="auto"/>
              <w:ind w:left="1" w:hanging="3"/>
              <w:jc w:val="both"/>
              <w:rPr>
                <w:sz w:val="26"/>
                <w:szCs w:val="26"/>
              </w:rPr>
            </w:pPr>
            <w:r>
              <w:rPr>
                <w:sz w:val="26"/>
                <w:szCs w:val="26"/>
              </w:rPr>
              <w:t>Dự án Xây dựng Thư viện Thiếu nhi tại khuôn viên Thư viện Khoa học tổng hợp</w:t>
            </w:r>
          </w:p>
        </w:tc>
        <w:tc>
          <w:tcPr>
            <w:tcW w:w="2351" w:type="dxa"/>
            <w:vAlign w:val="center"/>
          </w:tcPr>
          <w:p w14:paraId="55F64F7B">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6554087C">
            <w:pPr>
              <w:spacing w:line="240" w:lineRule="auto"/>
              <w:ind w:left="1" w:hanging="3"/>
              <w:jc w:val="both"/>
              <w:rPr>
                <w:sz w:val="26"/>
                <w:szCs w:val="26"/>
              </w:rPr>
            </w:pPr>
            <w:r>
              <w:rPr>
                <w:sz w:val="26"/>
                <w:szCs w:val="26"/>
              </w:rPr>
              <w:t>- Đơn vị chủ trì: Sở Văn hóa và Thể thao</w:t>
            </w:r>
          </w:p>
        </w:tc>
        <w:tc>
          <w:tcPr>
            <w:tcW w:w="3178" w:type="dxa"/>
            <w:vAlign w:val="center"/>
          </w:tcPr>
          <w:p w14:paraId="63D65EFA">
            <w:pPr>
              <w:spacing w:line="240" w:lineRule="auto"/>
              <w:ind w:left="1" w:hanging="3"/>
              <w:jc w:val="both"/>
              <w:rPr>
                <w:sz w:val="26"/>
                <w:szCs w:val="26"/>
              </w:rPr>
            </w:pPr>
            <w:r>
              <w:rPr>
                <w:sz w:val="26"/>
                <w:szCs w:val="26"/>
              </w:rPr>
              <w:t xml:space="preserve">- Nhằm phát triển Văn hóa đọc trên địa bàn Thành phố Hồ Chí Minh, xây dựng xã hội học tập theo Luật Thư viện và các văn bản liên quan. </w:t>
            </w:r>
          </w:p>
          <w:p w14:paraId="3206862C">
            <w:pPr>
              <w:spacing w:line="240" w:lineRule="auto"/>
              <w:ind w:left="1" w:hanging="3"/>
              <w:jc w:val="both"/>
              <w:rPr>
                <w:sz w:val="26"/>
                <w:szCs w:val="26"/>
              </w:rPr>
            </w:pPr>
            <w:r>
              <w:rPr>
                <w:sz w:val="26"/>
                <w:szCs w:val="26"/>
              </w:rPr>
              <w:t xml:space="preserve">- Tăng cường mở rộng, phát triển không gian đáp ứng nhu cầu hưởng thụ văn hóa đọc, học tập, vui chơi giải trí cho thiếu nhi, thanh thiếu niên thành phố. </w:t>
            </w:r>
          </w:p>
          <w:p w14:paraId="3F56084C">
            <w:pPr>
              <w:spacing w:line="240" w:lineRule="auto"/>
              <w:ind w:left="1" w:hanging="3"/>
              <w:jc w:val="both"/>
              <w:rPr>
                <w:sz w:val="26"/>
                <w:szCs w:val="26"/>
              </w:rPr>
            </w:pPr>
            <w:r>
              <w:rPr>
                <w:sz w:val="26"/>
                <w:szCs w:val="26"/>
              </w:rPr>
              <w:t xml:space="preserve">- Hình thành không gian văn hóa đọc theo hình thức mở; không gian trải nghiệm công nghệ, định hướng nghề nghiệp cho mọi lứa tuổi học sinh trên địa bàn thành phố. </w:t>
            </w:r>
          </w:p>
        </w:tc>
        <w:tc>
          <w:tcPr>
            <w:tcW w:w="1689" w:type="dxa"/>
            <w:vAlign w:val="center"/>
          </w:tcPr>
          <w:p w14:paraId="62891BEE">
            <w:pPr>
              <w:spacing w:line="240" w:lineRule="auto"/>
              <w:ind w:left="5" w:leftChars="2" w:firstLine="0" w:firstLineChars="0"/>
              <w:jc w:val="both"/>
              <w:rPr>
                <w:sz w:val="26"/>
                <w:szCs w:val="26"/>
              </w:rPr>
            </w:pPr>
            <w:r>
              <w:rPr>
                <w:sz w:val="26"/>
                <w:szCs w:val="26"/>
              </w:rPr>
              <w:t>Hoàn thành dịp 30/4/2025</w:t>
            </w:r>
          </w:p>
          <w:p w14:paraId="41016EE0">
            <w:pPr>
              <w:spacing w:line="240" w:lineRule="auto"/>
              <w:ind w:left="1" w:hanging="3"/>
              <w:jc w:val="both"/>
              <w:rPr>
                <w:sz w:val="26"/>
                <w:szCs w:val="26"/>
              </w:rPr>
            </w:pPr>
          </w:p>
          <w:p w14:paraId="6F07530D">
            <w:pPr>
              <w:spacing w:line="240" w:lineRule="auto"/>
              <w:ind w:left="1" w:hanging="3"/>
              <w:jc w:val="both"/>
              <w:rPr>
                <w:sz w:val="26"/>
                <w:szCs w:val="26"/>
              </w:rPr>
            </w:pPr>
          </w:p>
          <w:p w14:paraId="070A0519">
            <w:pPr>
              <w:spacing w:line="240" w:lineRule="auto"/>
              <w:ind w:left="1" w:hanging="3"/>
              <w:jc w:val="both"/>
              <w:rPr>
                <w:sz w:val="26"/>
                <w:szCs w:val="26"/>
              </w:rPr>
            </w:pPr>
          </w:p>
        </w:tc>
        <w:tc>
          <w:tcPr>
            <w:tcW w:w="4961" w:type="dxa"/>
            <w:vAlign w:val="center"/>
          </w:tcPr>
          <w:p w14:paraId="26724ECD">
            <w:pPr>
              <w:spacing w:line="240" w:lineRule="auto"/>
              <w:ind w:left="1" w:right="-60" w:hanging="3"/>
              <w:jc w:val="both"/>
              <w:rPr>
                <w:sz w:val="26"/>
                <w:szCs w:val="26"/>
              </w:rPr>
            </w:pPr>
            <w:r>
              <w:rPr>
                <w:sz w:val="26"/>
                <w:szCs w:val="26"/>
                <w:highlight w:val="white"/>
              </w:rPr>
              <w:t>- Xây dựng Thư viện Thiếu nhi tại khuôn viên Thư viện Khoa học tổng hợp Thành phố: Sở Văn hóa và Thể thao đã có các Công văn số 3760/SVHTT-KHTC ngày 02 tháng 8 năm 2024 và Công văn số 3947/SVHTT-KHTC ngày 12 tháng 8 năm 2024 về xin chủ trương đầu tư dự án. Ngày 06 tháng 9 năm 2024, Ủy ban nhân dân Thành phố ban hành Quyết định só 3679/QĐ-UBND về giao nhiệm vụ lập Báo cáo đề xuất chủ trương đầu tư Dự án Xây dựng Thư viện Thiếu nhi tại khuôn viên Thư viện Khoa học tổng hợp Thành phố</w:t>
            </w:r>
            <w:r>
              <w:rPr>
                <w:sz w:val="26"/>
                <w:szCs w:val="26"/>
              </w:rPr>
              <w:t>.</w:t>
            </w:r>
          </w:p>
        </w:tc>
        <w:tc>
          <w:tcPr>
            <w:tcW w:w="992" w:type="dxa"/>
            <w:gridSpan w:val="2"/>
            <w:vAlign w:val="center"/>
          </w:tcPr>
          <w:p w14:paraId="0A45C33A">
            <w:pPr>
              <w:spacing w:line="240" w:lineRule="auto"/>
              <w:ind w:left="1" w:hanging="3"/>
              <w:jc w:val="center"/>
              <w:rPr>
                <w:sz w:val="26"/>
                <w:szCs w:val="26"/>
              </w:rPr>
            </w:pPr>
          </w:p>
        </w:tc>
      </w:tr>
      <w:tr w14:paraId="025FC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CC443CF">
            <w:pPr>
              <w:pStyle w:val="139"/>
              <w:numPr>
                <w:ilvl w:val="0"/>
                <w:numId w:val="1"/>
              </w:numPr>
              <w:spacing w:line="240" w:lineRule="auto"/>
              <w:ind w:leftChars="0" w:firstLineChars="0"/>
              <w:jc w:val="both"/>
              <w:rPr>
                <w:sz w:val="26"/>
                <w:szCs w:val="26"/>
              </w:rPr>
            </w:pPr>
          </w:p>
        </w:tc>
        <w:tc>
          <w:tcPr>
            <w:tcW w:w="1834" w:type="dxa"/>
            <w:vAlign w:val="center"/>
          </w:tcPr>
          <w:p w14:paraId="006A30CC">
            <w:pPr>
              <w:spacing w:line="240" w:lineRule="auto"/>
              <w:ind w:left="1" w:hanging="3"/>
              <w:jc w:val="both"/>
              <w:rPr>
                <w:sz w:val="26"/>
                <w:szCs w:val="26"/>
              </w:rPr>
            </w:pPr>
            <w:r>
              <w:rPr>
                <w:sz w:val="26"/>
                <w:szCs w:val="26"/>
              </w:rPr>
              <w:t>Chương trình phát triển y tế thông minh</w:t>
            </w:r>
          </w:p>
        </w:tc>
        <w:tc>
          <w:tcPr>
            <w:tcW w:w="2351" w:type="dxa"/>
            <w:vAlign w:val="center"/>
          </w:tcPr>
          <w:p w14:paraId="04DEB85D">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6F536861">
            <w:pPr>
              <w:spacing w:line="240" w:lineRule="auto"/>
              <w:ind w:left="1" w:hanging="3"/>
              <w:jc w:val="both"/>
              <w:rPr>
                <w:sz w:val="26"/>
                <w:szCs w:val="26"/>
              </w:rPr>
            </w:pPr>
            <w:r>
              <w:rPr>
                <w:sz w:val="26"/>
                <w:szCs w:val="26"/>
              </w:rPr>
              <w:t>- Đơn vị chủ trì: Sở Y tế</w:t>
            </w:r>
          </w:p>
        </w:tc>
        <w:tc>
          <w:tcPr>
            <w:tcW w:w="3178" w:type="dxa"/>
            <w:vAlign w:val="center"/>
          </w:tcPr>
          <w:p w14:paraId="6DD83719">
            <w:pPr>
              <w:spacing w:line="240" w:lineRule="auto"/>
              <w:ind w:left="1" w:hanging="3"/>
              <w:jc w:val="both"/>
              <w:rPr>
                <w:sz w:val="26"/>
                <w:szCs w:val="26"/>
              </w:rPr>
            </w:pPr>
            <w:r>
              <w:rPr>
                <w:sz w:val="26"/>
                <w:szCs w:val="26"/>
              </w:rPr>
              <w:t>Đảm bảo mọi người dân Thành phố đều được tạo lập hồ sơ sức khoẻ điện tử, từ đó có sự liên kết thông tin giữa các bệnh viện, các cơ sở y tế nhằm nâng cao chất lượng dịch vụ y tế, hướng đến xây dựng nguồn dữ liệu lớn và xác định mô hình bệnh tật của người dân Thành phố.</w:t>
            </w:r>
          </w:p>
        </w:tc>
        <w:tc>
          <w:tcPr>
            <w:tcW w:w="1689" w:type="dxa"/>
            <w:vAlign w:val="center"/>
          </w:tcPr>
          <w:p w14:paraId="1AC69D37">
            <w:pPr>
              <w:spacing w:line="240" w:lineRule="auto"/>
              <w:ind w:left="1" w:hanging="3"/>
              <w:jc w:val="both"/>
              <w:rPr>
                <w:sz w:val="26"/>
                <w:szCs w:val="26"/>
              </w:rPr>
            </w:pPr>
            <w:r>
              <w:rPr>
                <w:sz w:val="26"/>
                <w:szCs w:val="26"/>
              </w:rPr>
              <w:t>Hoàn thành dịp 30/4/2025</w:t>
            </w:r>
          </w:p>
        </w:tc>
        <w:tc>
          <w:tcPr>
            <w:tcW w:w="4961" w:type="dxa"/>
            <w:vAlign w:val="center"/>
          </w:tcPr>
          <w:p w14:paraId="508A0672">
            <w:pPr>
              <w:spacing w:line="240" w:lineRule="auto"/>
              <w:ind w:left="1" w:hanging="3"/>
              <w:jc w:val="both"/>
              <w:rPr>
                <w:sz w:val="26"/>
                <w:szCs w:val="26"/>
              </w:rPr>
            </w:pPr>
            <w:r>
              <w:rPr>
                <w:sz w:val="26"/>
                <w:szCs w:val="26"/>
              </w:rPr>
              <w:t>Sở Y tế đã tham mưu Ủy ban nhân dân Thành phố và ban hành Kế hoạch triển khai Đề án “Y tế thông minh giai đoạn 2021-2025 và tầm nhìn đến năm 2030”. Tiến độ và nội dung thực hiện cụ thể như sau: Về triển khai hồ sơ sức khỏe điện tử: Vừa qua, Bộ Y tế đã có văn bản đồng ý cho phép Thành phố triển khai tương tự mô hình thí điểm của Hà Nội và cho phép sử dụng dữ liệu tiêm chủng quốc gia và tiêm chủng COVID-19 làm dữ liệu khởi tạo hồ sơ sức khỏe. Hiện nay, Sở Y tế, Sở Thông tin và Truyền thông, Trung tâm Chuyển đổi số và Công an Thành phố đã thống nhất về giải pháp triển khai theo hướng tích hợp thông tin lên VNEID (Đề án 06), ứng dụng công dân số của thành phố và từng bước xây dựng Dữ liệu lớn về sức khỏe của người dân thành phố (theo nhóm đối tượng). Dự kiến công cụ quản lý dữ liệu sẽ hoàn thành trong tháng 10 năm 2024.</w:t>
            </w:r>
          </w:p>
        </w:tc>
        <w:tc>
          <w:tcPr>
            <w:tcW w:w="992" w:type="dxa"/>
            <w:gridSpan w:val="2"/>
            <w:vAlign w:val="center"/>
          </w:tcPr>
          <w:p w14:paraId="5A26177B">
            <w:pPr>
              <w:spacing w:line="240" w:lineRule="auto"/>
              <w:ind w:left="1" w:hanging="3"/>
              <w:jc w:val="center"/>
              <w:rPr>
                <w:sz w:val="26"/>
                <w:szCs w:val="26"/>
              </w:rPr>
            </w:pPr>
          </w:p>
        </w:tc>
      </w:tr>
      <w:tr w14:paraId="2EDF0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EABA854">
            <w:pPr>
              <w:pStyle w:val="139"/>
              <w:numPr>
                <w:ilvl w:val="0"/>
                <w:numId w:val="1"/>
              </w:numPr>
              <w:spacing w:line="240" w:lineRule="auto"/>
              <w:ind w:leftChars="0" w:firstLineChars="0"/>
              <w:jc w:val="both"/>
              <w:rPr>
                <w:sz w:val="26"/>
                <w:szCs w:val="26"/>
              </w:rPr>
            </w:pPr>
          </w:p>
        </w:tc>
        <w:tc>
          <w:tcPr>
            <w:tcW w:w="1834" w:type="dxa"/>
            <w:vAlign w:val="center"/>
          </w:tcPr>
          <w:p w14:paraId="0A657643">
            <w:pPr>
              <w:spacing w:line="240" w:lineRule="auto"/>
              <w:ind w:left="1" w:hanging="3"/>
              <w:jc w:val="both"/>
              <w:rPr>
                <w:sz w:val="26"/>
                <w:szCs w:val="26"/>
              </w:rPr>
            </w:pPr>
            <w:r>
              <w:rPr>
                <w:sz w:val="26"/>
                <w:szCs w:val="26"/>
              </w:rPr>
              <w:t>Đầu tư xây dựng khu y tế Tân Kiên</w:t>
            </w:r>
          </w:p>
        </w:tc>
        <w:tc>
          <w:tcPr>
            <w:tcW w:w="2351" w:type="dxa"/>
            <w:vAlign w:val="center"/>
          </w:tcPr>
          <w:p w14:paraId="7176A75A">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6FFF1EAE">
            <w:pPr>
              <w:spacing w:line="240" w:lineRule="auto"/>
              <w:ind w:left="1" w:hanging="3"/>
              <w:jc w:val="both"/>
              <w:rPr>
                <w:sz w:val="26"/>
                <w:szCs w:val="26"/>
              </w:rPr>
            </w:pPr>
            <w:r>
              <w:rPr>
                <w:sz w:val="26"/>
                <w:szCs w:val="26"/>
              </w:rPr>
              <w:t>- Đơn vị chủ trì: Sở Y tế, Ban Quản lý dự án đầu tư xây dựng các công trình dân dụng và công nghiệp</w:t>
            </w:r>
          </w:p>
        </w:tc>
        <w:tc>
          <w:tcPr>
            <w:tcW w:w="3178" w:type="dxa"/>
            <w:vAlign w:val="center"/>
          </w:tcPr>
          <w:p w14:paraId="2948E423">
            <w:pPr>
              <w:spacing w:line="240" w:lineRule="auto"/>
              <w:ind w:left="1" w:hanging="3"/>
              <w:jc w:val="both"/>
              <w:rPr>
                <w:sz w:val="26"/>
                <w:szCs w:val="26"/>
              </w:rPr>
            </w:pPr>
            <w:r>
              <w:rPr>
                <w:sz w:val="26"/>
                <w:szCs w:val="26"/>
              </w:rPr>
              <w:t>Dự án “Xây dựng Trường Đại học Y khoa Phạm Ngọc Thạch - Cơ sở 2 tại Cụm y tế Tân Kiên, huyện Bình Chánh”. Đầu tư dự án kết hợp với Bệnh viện thực hành theo dõi mô hình Viện - Trường và tăng cường đội ngũ giảng viên giỏi về lý thuyết và thực hành để mở rộng năng lực đào tạo và chất lượng đào tạo theo tiêu chuẩn của các nước tiên tiến trên thế giới, nhằm cung cấp nguồn nhân lực y tế đáp ứng nhu cầu cho ngành Y tế Thành phố Hồ Chí Minh và các tỉnh thành phía Nam cũng như cả nước, góp phần tích cực vào mục tiêu phát triển mạng lưới y tế Quốc gia.</w:t>
            </w:r>
          </w:p>
        </w:tc>
        <w:tc>
          <w:tcPr>
            <w:tcW w:w="1689" w:type="dxa"/>
            <w:vAlign w:val="center"/>
          </w:tcPr>
          <w:p w14:paraId="6C64CDFB">
            <w:pPr>
              <w:spacing w:line="240" w:lineRule="auto"/>
              <w:ind w:left="1" w:hanging="3"/>
              <w:jc w:val="both"/>
              <w:rPr>
                <w:sz w:val="26"/>
                <w:szCs w:val="26"/>
              </w:rPr>
            </w:pPr>
            <w:r>
              <w:rPr>
                <w:sz w:val="26"/>
                <w:szCs w:val="26"/>
              </w:rPr>
              <w:t>Hoàn thành dịp 30/4/2025</w:t>
            </w:r>
          </w:p>
        </w:tc>
        <w:tc>
          <w:tcPr>
            <w:tcW w:w="4961" w:type="dxa"/>
            <w:vAlign w:val="center"/>
          </w:tcPr>
          <w:p w14:paraId="723F0A05">
            <w:pPr>
              <w:spacing w:line="240" w:lineRule="auto"/>
              <w:ind w:left="1" w:hanging="3"/>
              <w:jc w:val="both"/>
              <w:rPr>
                <w:sz w:val="26"/>
                <w:szCs w:val="26"/>
              </w:rPr>
            </w:pPr>
            <w:r>
              <w:rPr>
                <w:sz w:val="26"/>
                <w:szCs w:val="26"/>
              </w:rPr>
              <w:t>- Hiện nay, tiến độ hoàn thành xây lắp vẫn đang theo đúng Kế hoạch và dự kiến hoàn thành vào quý IV năm 2024. Kiến nghị Ban bồi thường giải phóng mặt bằng huyện Bình Chánh có phương án sớm bàn giao mặt bằng triển khai thi công để đẩy nhanh tiến độ thực hiện dự án đúng Kế hoạch đã được phê duyệt.</w:t>
            </w:r>
          </w:p>
          <w:p w14:paraId="77705B1F">
            <w:pPr>
              <w:spacing w:line="240" w:lineRule="auto"/>
              <w:ind w:left="1" w:hanging="3"/>
              <w:jc w:val="both"/>
              <w:rPr>
                <w:sz w:val="26"/>
                <w:szCs w:val="26"/>
              </w:rPr>
            </w:pPr>
            <w:r>
              <w:rPr>
                <w:sz w:val="26"/>
                <w:szCs w:val="26"/>
              </w:rPr>
              <w:t>- Đối với dự án “Khởi công xây mới Trung tâm cấp cứu 115 tại cụm y tế Tân Kiên, huyện Bình Chánh”: đã phối hợp với Ban quản lý dự án đầu tư xây dựng các công trình dân dụng và công nghiệp Thành phố lập báo cáo đề xuất chủ trình đầu tư xây dựng cơ sở mới của Trung tâm cấp cứu 115 tại cụm y tế Tân Kiên, trình Sở Kế hoạch và Đầu tư thẩm định.</w:t>
            </w:r>
          </w:p>
        </w:tc>
        <w:tc>
          <w:tcPr>
            <w:tcW w:w="992" w:type="dxa"/>
            <w:gridSpan w:val="2"/>
            <w:vAlign w:val="center"/>
          </w:tcPr>
          <w:p w14:paraId="2C64B776">
            <w:pPr>
              <w:spacing w:line="240" w:lineRule="auto"/>
              <w:ind w:left="1" w:hanging="3"/>
              <w:jc w:val="center"/>
              <w:rPr>
                <w:sz w:val="26"/>
                <w:szCs w:val="26"/>
              </w:rPr>
            </w:pPr>
          </w:p>
        </w:tc>
      </w:tr>
      <w:tr w14:paraId="437B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3CEE84CE">
            <w:pPr>
              <w:pStyle w:val="139"/>
              <w:numPr>
                <w:ilvl w:val="0"/>
                <w:numId w:val="1"/>
              </w:numPr>
              <w:spacing w:line="240" w:lineRule="auto"/>
              <w:ind w:leftChars="0" w:firstLineChars="0"/>
              <w:jc w:val="both"/>
              <w:rPr>
                <w:sz w:val="26"/>
                <w:szCs w:val="26"/>
              </w:rPr>
            </w:pPr>
          </w:p>
        </w:tc>
        <w:tc>
          <w:tcPr>
            <w:tcW w:w="1834" w:type="dxa"/>
            <w:vAlign w:val="center"/>
          </w:tcPr>
          <w:p w14:paraId="2569ABED">
            <w:pPr>
              <w:spacing w:line="240" w:lineRule="auto"/>
              <w:ind w:left="1" w:hanging="3"/>
              <w:jc w:val="both"/>
              <w:rPr>
                <w:sz w:val="26"/>
                <w:szCs w:val="26"/>
              </w:rPr>
            </w:pPr>
            <w:r>
              <w:rPr>
                <w:sz w:val="26"/>
                <w:szCs w:val="26"/>
              </w:rPr>
              <w:t>Xây dựng và trang bị các bệnh viện cửa ngõ</w:t>
            </w:r>
          </w:p>
        </w:tc>
        <w:tc>
          <w:tcPr>
            <w:tcW w:w="2351" w:type="dxa"/>
            <w:vAlign w:val="center"/>
          </w:tcPr>
          <w:p w14:paraId="61F57BD0">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219BB6CD">
            <w:pPr>
              <w:spacing w:line="240" w:lineRule="auto"/>
              <w:ind w:left="1" w:hanging="3"/>
              <w:jc w:val="both"/>
              <w:rPr>
                <w:sz w:val="26"/>
                <w:szCs w:val="26"/>
              </w:rPr>
            </w:pPr>
            <w:r>
              <w:rPr>
                <w:sz w:val="26"/>
                <w:szCs w:val="26"/>
              </w:rPr>
              <w:t>- Đơn vị chủ trì: Sở Y tế</w:t>
            </w:r>
          </w:p>
        </w:tc>
        <w:tc>
          <w:tcPr>
            <w:tcW w:w="3178" w:type="dxa"/>
            <w:vAlign w:val="center"/>
          </w:tcPr>
          <w:p w14:paraId="6DC0A0F3">
            <w:pPr>
              <w:spacing w:line="240" w:lineRule="auto"/>
              <w:ind w:left="1" w:hanging="3"/>
              <w:jc w:val="both"/>
              <w:rPr>
                <w:sz w:val="26"/>
                <w:szCs w:val="26"/>
              </w:rPr>
            </w:pPr>
            <w:r>
              <w:rPr>
                <w:sz w:val="26"/>
                <w:szCs w:val="26"/>
              </w:rPr>
              <w:t>Xây dựng mới Bệnh viện Đa khoa khu vực Thủ Đức; Xây dựng mới Bệnh viện Đa khoa khu vực Củ Chi; Xây dựng mới Bệnh viện Đa khoa khu vực Hóc Môn. 03 Bệnh viện với cơ sở vật chất, hiện đại, có các chuyên khoa sâu với các thiết bị y khoa đồng bộ, tạo điều kiện nâng cao trình độ chuyên môn đội ngũ y bác sĩ, chăm sóc tốt hơn sức khỏe người dân 3 khu vực cửa ngõ của Thành phố và các vùng lân cận; giảm tải cho các bệnh viện tuyến cuối và khu vực nội thành.</w:t>
            </w:r>
          </w:p>
        </w:tc>
        <w:tc>
          <w:tcPr>
            <w:tcW w:w="1689" w:type="dxa"/>
            <w:vAlign w:val="center"/>
          </w:tcPr>
          <w:p w14:paraId="11EB7940">
            <w:pPr>
              <w:spacing w:line="240" w:lineRule="auto"/>
              <w:ind w:left="1" w:hanging="3"/>
              <w:jc w:val="both"/>
              <w:rPr>
                <w:sz w:val="26"/>
                <w:szCs w:val="26"/>
              </w:rPr>
            </w:pPr>
            <w:r>
              <w:rPr>
                <w:sz w:val="26"/>
                <w:szCs w:val="26"/>
              </w:rPr>
              <w:t>Hoàn thành dịp 30/4/2025</w:t>
            </w:r>
          </w:p>
        </w:tc>
        <w:tc>
          <w:tcPr>
            <w:tcW w:w="4961" w:type="dxa"/>
            <w:vAlign w:val="center"/>
          </w:tcPr>
          <w:p w14:paraId="1197402E">
            <w:pPr>
              <w:spacing w:line="240" w:lineRule="auto"/>
              <w:ind w:left="1" w:hanging="3"/>
              <w:jc w:val="both"/>
              <w:rPr>
                <w:sz w:val="26"/>
                <w:szCs w:val="26"/>
              </w:rPr>
            </w:pPr>
            <w:r>
              <w:rPr>
                <w:sz w:val="26"/>
                <w:szCs w:val="26"/>
              </w:rPr>
              <w:t xml:space="preserve">- Bệnh viện đa khoa khu vực Thủ Đức và Bệnh viện đa khoa khu vực Hóc Môn sẽ triển khai </w:t>
            </w:r>
            <w:r>
              <w:rPr>
                <w:spacing w:val="-6"/>
                <w:sz w:val="26"/>
                <w:szCs w:val="26"/>
              </w:rPr>
              <w:t>hoạt động toàn bộ cơ sở mới vào quý I năm 2025.</w:t>
            </w:r>
          </w:p>
          <w:p w14:paraId="7285D377">
            <w:pPr>
              <w:spacing w:line="240" w:lineRule="auto"/>
              <w:ind w:left="1" w:hanging="3"/>
              <w:jc w:val="both"/>
              <w:rPr>
                <w:sz w:val="26"/>
                <w:szCs w:val="26"/>
              </w:rPr>
            </w:pPr>
            <w:r>
              <w:rPr>
                <w:sz w:val="26"/>
                <w:szCs w:val="26"/>
              </w:rPr>
              <w:t>- Bệnh viện đa khoa khu vực Củ Chi sẽ đi vào hoạt động khối phòng khám vào quý IV năm 2024 và triển khai hoạt động toàn bộ cơ sở mới vào cuối quý IV năm 2024 hoặc đầu năm 2025.</w:t>
            </w:r>
          </w:p>
          <w:p w14:paraId="130E6343">
            <w:pPr>
              <w:spacing w:line="240" w:lineRule="auto"/>
              <w:ind w:left="1" w:hanging="3"/>
              <w:jc w:val="both"/>
              <w:rPr>
                <w:sz w:val="26"/>
                <w:szCs w:val="26"/>
              </w:rPr>
            </w:pPr>
            <w:r>
              <w:rPr>
                <w:sz w:val="26"/>
                <w:szCs w:val="26"/>
              </w:rPr>
              <w:t>Đồng thời, nhằm đảm bảo cơ sở mới của 3 bệnh viện cửa ngõ đi vào hoạt động hiệu quả theo đúng kế hoạch trong năm 2024, Sở Y tế đã thành lập Hội đồng các chuyên gia đầu ngành thuộc các chuyên khoa khác nhau của Ngành y tế Thành phố để thống nhất định hướng phát triển cho các bệnh viện giai đoạn từ nay đến năm 2030 và Hội đồng chuyên gia phản biện của Ngành y tế Thành phố để góp ý việc đầu tư trang thiết bị phù hợp với đặc điểm, tình hình của từng bệnh viện theo định hướng phát triển nhằm đảm bảo việc mua sắm thiết bị y tế của 3 bệnh viện vừa hiệu quả vừa tránh lãng phí.</w:t>
            </w:r>
          </w:p>
        </w:tc>
        <w:tc>
          <w:tcPr>
            <w:tcW w:w="992" w:type="dxa"/>
            <w:gridSpan w:val="2"/>
            <w:vAlign w:val="center"/>
          </w:tcPr>
          <w:p w14:paraId="2A02AB87">
            <w:pPr>
              <w:spacing w:line="240" w:lineRule="auto"/>
              <w:ind w:left="1" w:hanging="3"/>
              <w:jc w:val="center"/>
              <w:rPr>
                <w:sz w:val="26"/>
                <w:szCs w:val="26"/>
              </w:rPr>
            </w:pPr>
          </w:p>
        </w:tc>
      </w:tr>
      <w:tr w14:paraId="054DD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4468787">
            <w:pPr>
              <w:pStyle w:val="139"/>
              <w:numPr>
                <w:ilvl w:val="0"/>
                <w:numId w:val="1"/>
              </w:numPr>
              <w:spacing w:line="240" w:lineRule="auto"/>
              <w:ind w:leftChars="0" w:firstLineChars="0"/>
              <w:jc w:val="both"/>
              <w:rPr>
                <w:sz w:val="26"/>
                <w:szCs w:val="26"/>
              </w:rPr>
            </w:pPr>
          </w:p>
        </w:tc>
        <w:tc>
          <w:tcPr>
            <w:tcW w:w="1834" w:type="dxa"/>
            <w:vAlign w:val="center"/>
          </w:tcPr>
          <w:p w14:paraId="00CA328B">
            <w:pPr>
              <w:spacing w:line="240" w:lineRule="auto"/>
              <w:ind w:left="1" w:hanging="3"/>
              <w:jc w:val="both"/>
              <w:rPr>
                <w:sz w:val="26"/>
                <w:szCs w:val="26"/>
              </w:rPr>
            </w:pPr>
            <w:r>
              <w:rPr>
                <w:sz w:val="26"/>
                <w:szCs w:val="26"/>
              </w:rPr>
              <w:t>Chương trình Nâng cao sức khỏe tầm vóc, tuổi thọ và chất lượng cuộc sống của người dân Thành phố Hồ Chí Minh</w:t>
            </w:r>
          </w:p>
        </w:tc>
        <w:tc>
          <w:tcPr>
            <w:tcW w:w="2351" w:type="dxa"/>
            <w:vAlign w:val="center"/>
          </w:tcPr>
          <w:p w14:paraId="6801B292">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242C6E19">
            <w:pPr>
              <w:spacing w:line="240" w:lineRule="auto"/>
              <w:ind w:left="1" w:hanging="3"/>
              <w:jc w:val="both"/>
              <w:rPr>
                <w:sz w:val="26"/>
                <w:szCs w:val="26"/>
              </w:rPr>
            </w:pPr>
            <w:r>
              <w:rPr>
                <w:sz w:val="26"/>
                <w:szCs w:val="26"/>
              </w:rPr>
              <w:t>- Đơn vị chủ trì: Sở Y tế</w:t>
            </w:r>
          </w:p>
        </w:tc>
        <w:tc>
          <w:tcPr>
            <w:tcW w:w="3178" w:type="dxa"/>
            <w:vAlign w:val="center"/>
          </w:tcPr>
          <w:p w14:paraId="578878F7">
            <w:pPr>
              <w:spacing w:line="240" w:lineRule="auto"/>
              <w:ind w:left="1" w:hanging="3"/>
              <w:jc w:val="both"/>
              <w:rPr>
                <w:sz w:val="26"/>
                <w:szCs w:val="26"/>
              </w:rPr>
            </w:pPr>
            <w:r>
              <w:rPr>
                <w:sz w:val="26"/>
                <w:szCs w:val="26"/>
              </w:rPr>
              <w:t>Phấn đấu đến năm 2025 tuổi thọ trung bình đạt 76,8; giảm tỷ lệ trẻ dưới 5 tuổi suy dinh dưỡng thể thấp còi ở mức dưới 6%; giảm tỷ lệ trẻ dưới 5 tuổi suy dinh dưỡng thể nhẹ cân ở mức 4%; khống chế tỷ lệ người trưởng thành béo phì dưới 20%…từ đó nâng cao sức khỏe tầm vóc, tuổi thọ và chất lượng cuộc sống của người dân Thành phố Hồ Chí Minh.</w:t>
            </w:r>
          </w:p>
        </w:tc>
        <w:tc>
          <w:tcPr>
            <w:tcW w:w="1689" w:type="dxa"/>
            <w:vAlign w:val="center"/>
          </w:tcPr>
          <w:p w14:paraId="29958B4D">
            <w:pPr>
              <w:spacing w:line="240" w:lineRule="auto"/>
              <w:ind w:left="1" w:hanging="3"/>
              <w:jc w:val="both"/>
              <w:rPr>
                <w:sz w:val="26"/>
                <w:szCs w:val="26"/>
              </w:rPr>
            </w:pPr>
            <w:r>
              <w:rPr>
                <w:sz w:val="26"/>
                <w:szCs w:val="26"/>
              </w:rPr>
              <w:t>Hoàn thành dịp 30/4/2025</w:t>
            </w:r>
          </w:p>
        </w:tc>
        <w:tc>
          <w:tcPr>
            <w:tcW w:w="4961" w:type="dxa"/>
            <w:vAlign w:val="center"/>
          </w:tcPr>
          <w:p w14:paraId="690DCE34">
            <w:pPr>
              <w:spacing w:line="240" w:lineRule="auto"/>
              <w:ind w:left="1" w:hanging="3"/>
              <w:jc w:val="both"/>
              <w:rPr>
                <w:sz w:val="26"/>
                <w:szCs w:val="26"/>
              </w:rPr>
            </w:pPr>
            <w:r>
              <w:rPr>
                <w:sz w:val="26"/>
                <w:szCs w:val="26"/>
              </w:rPr>
              <w:t xml:space="preserve">Hiện nay, Thành phố và Ngành y tế đang triển khai thực hiện những hoạt động, chương trình của Đề án “Phát triển Y tế cộng đồng thực hiện bảo vệ, chăm sóc và nâng cao sức khỏe người dân tại Thành phố Hồ Chí Minh giai đoạn 2021 - 2023” và đạt được những kết quả nhất định theo các chỉ tiêu đề ra. Phấn đấu đến năm 2025: </w:t>
            </w:r>
          </w:p>
          <w:p w14:paraId="51AC9ACC">
            <w:pPr>
              <w:spacing w:line="240" w:lineRule="auto"/>
              <w:ind w:left="1" w:hanging="3"/>
              <w:jc w:val="both"/>
              <w:rPr>
                <w:sz w:val="26"/>
                <w:szCs w:val="26"/>
              </w:rPr>
            </w:pPr>
            <w:r>
              <w:rPr>
                <w:sz w:val="26"/>
                <w:szCs w:val="26"/>
              </w:rPr>
              <w:t>- Tuổi thọ trung bình đạt 76,8; mỗi người cao tuổi trên địa bàn Thành phố đều được khám sức khỏe định kỳ 01 lần/năm.</w:t>
            </w:r>
          </w:p>
          <w:p w14:paraId="65BB7241">
            <w:pPr>
              <w:spacing w:line="240" w:lineRule="auto"/>
              <w:ind w:left="1" w:hanging="3"/>
              <w:jc w:val="both"/>
              <w:rPr>
                <w:sz w:val="26"/>
                <w:szCs w:val="26"/>
              </w:rPr>
            </w:pPr>
            <w:r>
              <w:rPr>
                <w:sz w:val="26"/>
                <w:szCs w:val="26"/>
              </w:rPr>
              <w:t>- Hạn chế sự gia tăng tỷ lệ mắc bệnh, tàn tật và tử vong sớm do các bệnh không lẫy nhiễm như Đái tháo đường, Tăng huyết áp… và chăm sóc sức khỏe tâm thần cho người dân Thành phố.</w:t>
            </w:r>
          </w:p>
          <w:p w14:paraId="631B01E6">
            <w:pPr>
              <w:spacing w:line="240" w:lineRule="auto"/>
              <w:ind w:left="1" w:hanging="3"/>
              <w:jc w:val="both"/>
              <w:rPr>
                <w:sz w:val="26"/>
                <w:szCs w:val="26"/>
              </w:rPr>
            </w:pPr>
            <w:r>
              <w:rPr>
                <w:sz w:val="26"/>
                <w:szCs w:val="26"/>
              </w:rPr>
              <w:t>- Đảm bảo tỷ lệ phụ nữ mang thai được sàng lọc trước sinh đạt 85%; tỷ lệ trẻ sơ sinh được sàng lọc đạt 85%.</w:t>
            </w:r>
          </w:p>
        </w:tc>
        <w:tc>
          <w:tcPr>
            <w:tcW w:w="992" w:type="dxa"/>
            <w:gridSpan w:val="2"/>
            <w:vAlign w:val="center"/>
          </w:tcPr>
          <w:p w14:paraId="1E24D00A">
            <w:pPr>
              <w:spacing w:line="240" w:lineRule="auto"/>
              <w:ind w:left="1" w:hanging="3"/>
              <w:jc w:val="center"/>
              <w:rPr>
                <w:sz w:val="26"/>
                <w:szCs w:val="26"/>
              </w:rPr>
            </w:pPr>
          </w:p>
        </w:tc>
      </w:tr>
      <w:tr w14:paraId="29ABF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53CC416">
            <w:pPr>
              <w:pStyle w:val="139"/>
              <w:numPr>
                <w:ilvl w:val="0"/>
                <w:numId w:val="1"/>
              </w:numPr>
              <w:spacing w:line="240" w:lineRule="auto"/>
              <w:ind w:leftChars="0" w:firstLineChars="0"/>
              <w:jc w:val="both"/>
              <w:rPr>
                <w:sz w:val="26"/>
                <w:szCs w:val="26"/>
              </w:rPr>
            </w:pPr>
          </w:p>
        </w:tc>
        <w:tc>
          <w:tcPr>
            <w:tcW w:w="1834" w:type="dxa"/>
            <w:vAlign w:val="center"/>
          </w:tcPr>
          <w:p w14:paraId="573B369D">
            <w:pPr>
              <w:spacing w:line="240" w:lineRule="auto"/>
              <w:ind w:left="1" w:hanging="3"/>
              <w:jc w:val="both"/>
              <w:rPr>
                <w:sz w:val="26"/>
                <w:szCs w:val="26"/>
              </w:rPr>
            </w:pPr>
            <w:r>
              <w:rPr>
                <w:sz w:val="26"/>
                <w:szCs w:val="26"/>
              </w:rPr>
              <w:t>Đề án Phát triển hệ thống cấp cứu ngoại viện của Thành phố Hồ Chí Minh</w:t>
            </w:r>
          </w:p>
        </w:tc>
        <w:tc>
          <w:tcPr>
            <w:tcW w:w="2351" w:type="dxa"/>
            <w:vAlign w:val="center"/>
          </w:tcPr>
          <w:p w14:paraId="15AB0ED6">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5E64ED80">
            <w:pPr>
              <w:spacing w:line="240" w:lineRule="auto"/>
              <w:ind w:left="1" w:hanging="3"/>
              <w:jc w:val="both"/>
              <w:rPr>
                <w:sz w:val="26"/>
                <w:szCs w:val="26"/>
              </w:rPr>
            </w:pPr>
            <w:r>
              <w:rPr>
                <w:sz w:val="26"/>
                <w:szCs w:val="26"/>
              </w:rPr>
              <w:t>- Đơn vị chủ trì: Sở Y tế</w:t>
            </w:r>
          </w:p>
        </w:tc>
        <w:tc>
          <w:tcPr>
            <w:tcW w:w="3178" w:type="dxa"/>
            <w:vAlign w:val="center"/>
          </w:tcPr>
          <w:p w14:paraId="60F82575">
            <w:pPr>
              <w:spacing w:line="240" w:lineRule="auto"/>
              <w:ind w:left="1" w:hanging="3"/>
              <w:jc w:val="both"/>
              <w:rPr>
                <w:sz w:val="26"/>
                <w:szCs w:val="26"/>
              </w:rPr>
            </w:pPr>
            <w:r>
              <w:rPr>
                <w:sz w:val="26"/>
                <w:szCs w:val="26"/>
              </w:rPr>
              <w:t>Củng cố, phát triển và nâng cao năng lực của hệ thống cấp cứu ngoại viện tại Thành phố Hồ Chí Minh theo hướng chuyên nghiệp; triển khai loại hình cấp cứu đường thủy, đường hàng không; đào tạo nguồn nhân lực chất lượng cao cho công tác cấp cứu ngoại viện nhằm đáp ứng nhu cầu của người dân và phù hợp với sự phát triển của Thành phố.</w:t>
            </w:r>
          </w:p>
        </w:tc>
        <w:tc>
          <w:tcPr>
            <w:tcW w:w="1689" w:type="dxa"/>
            <w:vAlign w:val="center"/>
          </w:tcPr>
          <w:p w14:paraId="2AC1F12A">
            <w:pPr>
              <w:spacing w:line="240" w:lineRule="auto"/>
              <w:ind w:left="1" w:hanging="3"/>
              <w:jc w:val="both"/>
              <w:rPr>
                <w:sz w:val="26"/>
                <w:szCs w:val="26"/>
              </w:rPr>
            </w:pPr>
            <w:r>
              <w:rPr>
                <w:sz w:val="26"/>
                <w:szCs w:val="26"/>
              </w:rPr>
              <w:t>Hoàn thành dịp 30/4/2025</w:t>
            </w:r>
          </w:p>
        </w:tc>
        <w:tc>
          <w:tcPr>
            <w:tcW w:w="4961" w:type="dxa"/>
            <w:vAlign w:val="center"/>
          </w:tcPr>
          <w:p w14:paraId="6D4DB52B">
            <w:pPr>
              <w:spacing w:line="240" w:lineRule="auto"/>
              <w:ind w:left="1" w:hanging="3"/>
              <w:jc w:val="both"/>
              <w:rPr>
                <w:sz w:val="26"/>
                <w:szCs w:val="26"/>
              </w:rPr>
            </w:pPr>
            <w:r>
              <w:rPr>
                <w:sz w:val="26"/>
                <w:szCs w:val="26"/>
              </w:rPr>
              <w:t>- Ủy ban nhân dân Thành phố đã phê duyệt tại Quyết định số 912/QĐ-UBND ngày 26/3/2024.</w:t>
            </w:r>
          </w:p>
          <w:p w14:paraId="592C1573">
            <w:pPr>
              <w:spacing w:line="240" w:lineRule="auto"/>
              <w:ind w:left="1" w:hanging="3"/>
              <w:jc w:val="both"/>
              <w:rPr>
                <w:sz w:val="26"/>
                <w:szCs w:val="26"/>
              </w:rPr>
            </w:pPr>
            <w:r>
              <w:rPr>
                <w:sz w:val="26"/>
                <w:szCs w:val="26"/>
              </w:rPr>
              <w:t>- Hiện nay, Sở Y tế đang phối hợp với các sở, ngành, đơn vị có liên quan xây dựng dự thảo Kế hoạch triển khai thực hiện Đề án.</w:t>
            </w:r>
          </w:p>
        </w:tc>
        <w:tc>
          <w:tcPr>
            <w:tcW w:w="992" w:type="dxa"/>
            <w:gridSpan w:val="2"/>
            <w:vAlign w:val="center"/>
          </w:tcPr>
          <w:p w14:paraId="0B3FCD19">
            <w:pPr>
              <w:spacing w:line="240" w:lineRule="auto"/>
              <w:ind w:left="1" w:hanging="3"/>
              <w:jc w:val="center"/>
              <w:rPr>
                <w:sz w:val="26"/>
                <w:szCs w:val="26"/>
              </w:rPr>
            </w:pPr>
          </w:p>
        </w:tc>
      </w:tr>
      <w:tr w14:paraId="441990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513AC21">
            <w:pPr>
              <w:pStyle w:val="139"/>
              <w:numPr>
                <w:ilvl w:val="0"/>
                <w:numId w:val="1"/>
              </w:numPr>
              <w:spacing w:line="240" w:lineRule="auto"/>
              <w:ind w:leftChars="0" w:firstLineChars="0"/>
              <w:jc w:val="both"/>
              <w:rPr>
                <w:sz w:val="26"/>
                <w:szCs w:val="26"/>
              </w:rPr>
            </w:pPr>
          </w:p>
        </w:tc>
        <w:tc>
          <w:tcPr>
            <w:tcW w:w="1834" w:type="dxa"/>
            <w:vAlign w:val="center"/>
          </w:tcPr>
          <w:p w14:paraId="1EBF3985">
            <w:pPr>
              <w:spacing w:line="240" w:lineRule="auto"/>
              <w:ind w:left="1" w:hanging="3"/>
              <w:jc w:val="both"/>
              <w:rPr>
                <w:sz w:val="26"/>
                <w:szCs w:val="26"/>
              </w:rPr>
            </w:pPr>
            <w:r>
              <w:rPr>
                <w:sz w:val="26"/>
                <w:szCs w:val="26"/>
              </w:rPr>
              <w:t>Đề án xây dựng Trung tâm chăm sóc sức khỏe khu vực ASEAN tại Thành phố Hồ Chí Minh</w:t>
            </w:r>
          </w:p>
        </w:tc>
        <w:tc>
          <w:tcPr>
            <w:tcW w:w="2351" w:type="dxa"/>
            <w:vAlign w:val="center"/>
          </w:tcPr>
          <w:p w14:paraId="290E5A64">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26AE7536">
            <w:pPr>
              <w:spacing w:line="240" w:lineRule="auto"/>
              <w:ind w:left="1" w:hanging="3"/>
              <w:jc w:val="both"/>
              <w:rPr>
                <w:sz w:val="26"/>
                <w:szCs w:val="26"/>
              </w:rPr>
            </w:pPr>
            <w:r>
              <w:rPr>
                <w:sz w:val="26"/>
                <w:szCs w:val="26"/>
              </w:rPr>
              <w:t>- Đơn vị chủ trì: Sở Y tế</w:t>
            </w:r>
          </w:p>
        </w:tc>
        <w:tc>
          <w:tcPr>
            <w:tcW w:w="3178" w:type="dxa"/>
            <w:vAlign w:val="center"/>
          </w:tcPr>
          <w:p w14:paraId="0DD36C04">
            <w:pPr>
              <w:spacing w:line="240" w:lineRule="auto"/>
              <w:ind w:left="1" w:hanging="3"/>
              <w:jc w:val="both"/>
              <w:rPr>
                <w:sz w:val="26"/>
                <w:szCs w:val="26"/>
              </w:rPr>
            </w:pPr>
            <w:r>
              <w:rPr>
                <w:sz w:val="26"/>
                <w:szCs w:val="26"/>
              </w:rPr>
              <w:t>Phát triển Thành phố trở thành Trung tâm chăm sóc sức khỏe của khu vực ASEAN, ngang tầm các nước trong khu vực, đáp ứng nhu cầu bảo vệ, chăm sóc và nâng cao sức khỏe ngày càng cao của người dân Thành phố. Không để người dân Thành phố phải ra nước ngoài để khám, chữa bệnh. Đồng thời, thu hút khách du lịch nước ngoài đến Thành phố để được chăm sóc sức khỏe, phát triển y tế du lịch và mang lại nguồn thu lớn cho ngân sách Thành phố.</w:t>
            </w:r>
          </w:p>
        </w:tc>
        <w:tc>
          <w:tcPr>
            <w:tcW w:w="1689" w:type="dxa"/>
            <w:vAlign w:val="center"/>
          </w:tcPr>
          <w:p w14:paraId="02E38F4D">
            <w:pPr>
              <w:spacing w:line="240" w:lineRule="auto"/>
              <w:ind w:left="1" w:hanging="3"/>
              <w:jc w:val="both"/>
              <w:rPr>
                <w:sz w:val="26"/>
                <w:szCs w:val="26"/>
              </w:rPr>
            </w:pPr>
            <w:r>
              <w:rPr>
                <w:sz w:val="26"/>
                <w:szCs w:val="26"/>
              </w:rPr>
              <w:t>Khởi công dịp 30/4/2025</w:t>
            </w:r>
          </w:p>
        </w:tc>
        <w:tc>
          <w:tcPr>
            <w:tcW w:w="4961" w:type="dxa"/>
            <w:vAlign w:val="center"/>
          </w:tcPr>
          <w:p w14:paraId="6EFD3923">
            <w:pPr>
              <w:spacing w:line="240" w:lineRule="auto"/>
              <w:ind w:left="1" w:hanging="3"/>
              <w:jc w:val="both"/>
              <w:rPr>
                <w:sz w:val="26"/>
                <w:szCs w:val="26"/>
              </w:rPr>
            </w:pPr>
            <w:r>
              <w:rPr>
                <w:sz w:val="26"/>
                <w:szCs w:val="26"/>
              </w:rPr>
              <w:t>Đối với nội dung xây dựng Trung tâm Khám sức khỏe và tầm soát bệnh bằng công nghệ cao Thành phố Hồ Chí Minh, Sở Y tế đang chỉnh sửa, hoàn chỉnh lại Đề án để gửi các sở, ngành góp ý và trình lại cho Ủy ban nhân dân Thành phố theo ý kiến chỉ đạo. Sở Y tế đề xuất sẽ bổ sung báo cáo các thành tựu của Ngành y tế Thành phố trong việc ứng dụng kỹ thuật, công nghệ cao, phát triển một số lĩnh vực tiếp cận trình độ công nghệ thế giới vào dịp 30 tháng 4 năm 2025.</w:t>
            </w:r>
          </w:p>
        </w:tc>
        <w:tc>
          <w:tcPr>
            <w:tcW w:w="992" w:type="dxa"/>
            <w:gridSpan w:val="2"/>
            <w:vAlign w:val="center"/>
          </w:tcPr>
          <w:p w14:paraId="0385EE74">
            <w:pPr>
              <w:spacing w:line="240" w:lineRule="auto"/>
              <w:ind w:left="1" w:hanging="3"/>
              <w:jc w:val="center"/>
              <w:rPr>
                <w:sz w:val="26"/>
                <w:szCs w:val="26"/>
              </w:rPr>
            </w:pPr>
          </w:p>
        </w:tc>
      </w:tr>
      <w:tr w14:paraId="4617B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3CBB589">
            <w:pPr>
              <w:pStyle w:val="139"/>
              <w:numPr>
                <w:ilvl w:val="0"/>
                <w:numId w:val="1"/>
              </w:numPr>
              <w:spacing w:line="240" w:lineRule="auto"/>
              <w:ind w:leftChars="0" w:firstLineChars="0"/>
              <w:jc w:val="both"/>
              <w:rPr>
                <w:sz w:val="26"/>
                <w:szCs w:val="26"/>
              </w:rPr>
            </w:pPr>
          </w:p>
        </w:tc>
        <w:tc>
          <w:tcPr>
            <w:tcW w:w="1834" w:type="dxa"/>
            <w:vAlign w:val="center"/>
          </w:tcPr>
          <w:p w14:paraId="59001EB6">
            <w:pPr>
              <w:spacing w:line="240" w:lineRule="auto"/>
              <w:ind w:left="1" w:hanging="3"/>
              <w:jc w:val="both"/>
              <w:rPr>
                <w:sz w:val="26"/>
                <w:szCs w:val="26"/>
              </w:rPr>
            </w:pPr>
            <w:r>
              <w:rPr>
                <w:sz w:val="26"/>
                <w:szCs w:val="26"/>
              </w:rPr>
              <w:t>Chương trình giáo dục thông minh</w:t>
            </w:r>
          </w:p>
        </w:tc>
        <w:tc>
          <w:tcPr>
            <w:tcW w:w="2351" w:type="dxa"/>
            <w:vAlign w:val="center"/>
          </w:tcPr>
          <w:p w14:paraId="74A71311">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4893630B">
            <w:pPr>
              <w:spacing w:line="240" w:lineRule="auto"/>
              <w:ind w:left="1" w:hanging="3"/>
              <w:jc w:val="both"/>
              <w:rPr>
                <w:sz w:val="26"/>
                <w:szCs w:val="26"/>
              </w:rPr>
            </w:pPr>
            <w:r>
              <w:rPr>
                <w:sz w:val="26"/>
                <w:szCs w:val="26"/>
              </w:rPr>
              <w:t>- Đơn vị chủ trì: Sở Giáo dục và Đào tạo</w:t>
            </w:r>
          </w:p>
        </w:tc>
        <w:tc>
          <w:tcPr>
            <w:tcW w:w="3178" w:type="dxa"/>
            <w:vAlign w:val="center"/>
          </w:tcPr>
          <w:p w14:paraId="594B7E2D">
            <w:pPr>
              <w:spacing w:line="240" w:lineRule="auto"/>
              <w:ind w:left="1" w:hanging="3"/>
              <w:jc w:val="both"/>
              <w:rPr>
                <w:sz w:val="26"/>
                <w:szCs w:val="26"/>
              </w:rPr>
            </w:pPr>
            <w:r>
              <w:rPr>
                <w:sz w:val="26"/>
                <w:szCs w:val="26"/>
              </w:rPr>
              <w:t>Chương trình hoàn thiện “Nội dung Giáo dục thông minh trong Giáo dục phổ thông, Giáo dục thường xuyên theo hướng hiện đại”; Công trình 100% cơ sở giáo dục phổ thông trên địa bàn Thành phố hoàn thiện hệ thống giáo dục số; Công trình xây dựng 50 trường học số.</w:t>
            </w:r>
          </w:p>
        </w:tc>
        <w:tc>
          <w:tcPr>
            <w:tcW w:w="1689" w:type="dxa"/>
            <w:vAlign w:val="center"/>
          </w:tcPr>
          <w:p w14:paraId="403474BE">
            <w:pPr>
              <w:spacing w:line="240" w:lineRule="auto"/>
              <w:ind w:left="1" w:hanging="3"/>
              <w:jc w:val="both"/>
              <w:rPr>
                <w:sz w:val="26"/>
                <w:szCs w:val="26"/>
              </w:rPr>
            </w:pPr>
            <w:r>
              <w:rPr>
                <w:sz w:val="26"/>
                <w:szCs w:val="26"/>
              </w:rPr>
              <w:t>Hoàn thành dịp 30/4/2025</w:t>
            </w:r>
          </w:p>
        </w:tc>
        <w:tc>
          <w:tcPr>
            <w:tcW w:w="4961" w:type="dxa"/>
            <w:vAlign w:val="center"/>
          </w:tcPr>
          <w:p w14:paraId="376F622F">
            <w:pPr>
              <w:spacing w:line="240" w:lineRule="auto"/>
              <w:ind w:left="1" w:hanging="3"/>
              <w:jc w:val="both"/>
              <w:rPr>
                <w:sz w:val="26"/>
                <w:szCs w:val="26"/>
              </w:rPr>
            </w:pPr>
            <w:r>
              <w:rPr>
                <w:sz w:val="26"/>
                <w:szCs w:val="26"/>
              </w:rPr>
              <w:t>Đối với công trình 50 trường học số, đã có 390 đơn vị trên địa bàn Thành phố đăng ký thi đua xây dựng công trình xây dựng 50 trường học số chào mừng kỷ niệm 50 năm Ngày Giải phóng miền Nam, thống nhất đất nước; đến tháng 9 năm 2024 các đơn vị đã hoàn thành sơ kết thi đua thực hiện công trình xây 50 trường học số.</w:t>
            </w:r>
          </w:p>
          <w:p w14:paraId="471671A7">
            <w:pPr>
              <w:spacing w:line="240" w:lineRule="auto"/>
              <w:ind w:left="1" w:hanging="3"/>
              <w:jc w:val="both"/>
              <w:rPr>
                <w:sz w:val="26"/>
                <w:szCs w:val="26"/>
              </w:rPr>
            </w:pPr>
            <w:r>
              <w:rPr>
                <w:sz w:val="26"/>
                <w:szCs w:val="26"/>
              </w:rPr>
              <w:t>Hiện nay các đơn vị tiếp tục triển khai các hoạt động theo đăng ký.</w:t>
            </w:r>
          </w:p>
        </w:tc>
        <w:tc>
          <w:tcPr>
            <w:tcW w:w="992" w:type="dxa"/>
            <w:gridSpan w:val="2"/>
            <w:vAlign w:val="center"/>
          </w:tcPr>
          <w:p w14:paraId="4312DF92">
            <w:pPr>
              <w:spacing w:line="240" w:lineRule="auto"/>
              <w:ind w:left="1" w:hanging="3"/>
              <w:jc w:val="center"/>
              <w:rPr>
                <w:sz w:val="26"/>
                <w:szCs w:val="26"/>
              </w:rPr>
            </w:pPr>
          </w:p>
        </w:tc>
      </w:tr>
      <w:tr w14:paraId="717279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7DF1249">
            <w:pPr>
              <w:pStyle w:val="139"/>
              <w:numPr>
                <w:ilvl w:val="0"/>
                <w:numId w:val="1"/>
              </w:numPr>
              <w:spacing w:line="240" w:lineRule="auto"/>
              <w:ind w:leftChars="0" w:firstLineChars="0"/>
              <w:jc w:val="both"/>
              <w:rPr>
                <w:sz w:val="26"/>
                <w:szCs w:val="26"/>
              </w:rPr>
            </w:pPr>
          </w:p>
        </w:tc>
        <w:tc>
          <w:tcPr>
            <w:tcW w:w="1834" w:type="dxa"/>
            <w:vAlign w:val="center"/>
          </w:tcPr>
          <w:p w14:paraId="63CD296C">
            <w:pPr>
              <w:spacing w:line="240" w:lineRule="auto"/>
              <w:ind w:left="1" w:hanging="3"/>
              <w:jc w:val="both"/>
              <w:rPr>
                <w:sz w:val="26"/>
                <w:szCs w:val="26"/>
              </w:rPr>
            </w:pPr>
            <w:r>
              <w:rPr>
                <w:sz w:val="26"/>
                <w:szCs w:val="26"/>
              </w:rPr>
              <w:t>Đề án xây dựng Thành phố Hồ Chí Minh - Trung tâm đào tạo nguồn nhân lực chất lượng cao của cả nước và khu vực</w:t>
            </w:r>
          </w:p>
        </w:tc>
        <w:tc>
          <w:tcPr>
            <w:tcW w:w="2351" w:type="dxa"/>
            <w:vAlign w:val="center"/>
          </w:tcPr>
          <w:p w14:paraId="50BB0932">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325CB1C2">
            <w:pPr>
              <w:spacing w:line="240" w:lineRule="auto"/>
              <w:ind w:left="1" w:hanging="3"/>
              <w:jc w:val="both"/>
              <w:rPr>
                <w:sz w:val="26"/>
                <w:szCs w:val="26"/>
              </w:rPr>
            </w:pPr>
            <w:r>
              <w:rPr>
                <w:sz w:val="26"/>
                <w:szCs w:val="26"/>
              </w:rPr>
              <w:t>- Đơn vị chủ trì: Sở Giáo dục và Đào tạo</w:t>
            </w:r>
          </w:p>
        </w:tc>
        <w:tc>
          <w:tcPr>
            <w:tcW w:w="3178" w:type="dxa"/>
            <w:vAlign w:val="center"/>
          </w:tcPr>
          <w:p w14:paraId="291C3D37">
            <w:pPr>
              <w:spacing w:line="240" w:lineRule="auto"/>
              <w:ind w:left="1" w:hanging="3"/>
              <w:jc w:val="both"/>
              <w:rPr>
                <w:sz w:val="26"/>
                <w:szCs w:val="26"/>
              </w:rPr>
            </w:pPr>
            <w:r>
              <w:rPr>
                <w:sz w:val="26"/>
                <w:szCs w:val="26"/>
              </w:rPr>
              <w:t>Xây dựng định hướng chiến lược phát triển Thành phố Hồ Chí Minh trở thành trung tâm đào tạo nguồn nhân lực chất lượng cao của cả nước và khu vực Đông Nam Á nhằm thu hút người học, cơ sở đào tạo và doanh nghiệp tham gia vào quá trình đào tạo nhân lực chất lượng cao cho thành phố giai đoạn 2025 - 2030, tầm nhìn 2045.</w:t>
            </w:r>
          </w:p>
        </w:tc>
        <w:tc>
          <w:tcPr>
            <w:tcW w:w="1689" w:type="dxa"/>
            <w:vAlign w:val="center"/>
          </w:tcPr>
          <w:p w14:paraId="3B652360">
            <w:pPr>
              <w:spacing w:line="240" w:lineRule="auto"/>
              <w:ind w:left="1" w:hanging="3"/>
              <w:jc w:val="both"/>
              <w:rPr>
                <w:sz w:val="26"/>
                <w:szCs w:val="26"/>
              </w:rPr>
            </w:pPr>
            <w:r>
              <w:rPr>
                <w:sz w:val="26"/>
                <w:szCs w:val="26"/>
              </w:rPr>
              <w:t>Hoàn thành dịp 30/4/2025</w:t>
            </w:r>
          </w:p>
        </w:tc>
        <w:tc>
          <w:tcPr>
            <w:tcW w:w="4961" w:type="dxa"/>
            <w:vAlign w:val="center"/>
          </w:tcPr>
          <w:p w14:paraId="320ADCCA">
            <w:pPr>
              <w:spacing w:line="240" w:lineRule="auto"/>
              <w:ind w:left="1" w:hanging="3"/>
              <w:jc w:val="both"/>
              <w:rPr>
                <w:sz w:val="26"/>
                <w:szCs w:val="26"/>
              </w:rPr>
            </w:pPr>
            <w:r>
              <w:rPr>
                <w:sz w:val="26"/>
                <w:szCs w:val="26"/>
              </w:rPr>
              <w:t>- Tháng 01 năm 2024 đã thông qua thuyết minh nghiên cứu Đề án, hiện đang chờ Sở Khoa học công nghệ ký hợp đồng nhiệm vụ.</w:t>
            </w:r>
          </w:p>
          <w:p w14:paraId="65C4ECB9">
            <w:pPr>
              <w:spacing w:line="240" w:lineRule="auto"/>
              <w:ind w:left="1" w:hanging="3"/>
              <w:jc w:val="both"/>
              <w:rPr>
                <w:sz w:val="26"/>
                <w:szCs w:val="26"/>
              </w:rPr>
            </w:pPr>
            <w:r>
              <w:rPr>
                <w:sz w:val="26"/>
                <w:szCs w:val="26"/>
              </w:rPr>
              <w:t>- Dự kiến tiến độ hoàn thành: Không kịp hoàn thành sản phẩm Đề án đúng thời gian quy định do thời hạn thực hiện nhiệm vụ nghiên cứu khoa học là 18 tháng tính từ ngày ký hợp đồng.</w:t>
            </w:r>
          </w:p>
          <w:p w14:paraId="4EBA7004">
            <w:pPr>
              <w:spacing w:line="240" w:lineRule="auto"/>
              <w:ind w:left="1" w:hanging="3"/>
              <w:jc w:val="both"/>
              <w:rPr>
                <w:sz w:val="26"/>
                <w:szCs w:val="26"/>
              </w:rPr>
            </w:pPr>
            <w:r>
              <w:rPr>
                <w:sz w:val="26"/>
                <w:szCs w:val="26"/>
              </w:rPr>
              <w:t>- Kiến nghị Ủy ban nhân dân Thành phố chỉ đạo về phương án triển khai thực hiện đề án sau khi có kết luận của Chủ tịch Ủy ban nhân dân Thành phố và ý kiến của Sở Khoa học và Công nghệ nhằm hoàn thành đúng thời gian quy định.</w:t>
            </w:r>
          </w:p>
        </w:tc>
        <w:tc>
          <w:tcPr>
            <w:tcW w:w="992" w:type="dxa"/>
            <w:gridSpan w:val="2"/>
            <w:vAlign w:val="center"/>
          </w:tcPr>
          <w:p w14:paraId="61681820">
            <w:pPr>
              <w:spacing w:line="240" w:lineRule="auto"/>
              <w:ind w:left="1" w:hanging="3"/>
              <w:jc w:val="center"/>
              <w:rPr>
                <w:sz w:val="26"/>
                <w:szCs w:val="26"/>
              </w:rPr>
            </w:pPr>
          </w:p>
        </w:tc>
      </w:tr>
      <w:tr w14:paraId="71D00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FA0000D">
            <w:pPr>
              <w:pStyle w:val="139"/>
              <w:numPr>
                <w:ilvl w:val="0"/>
                <w:numId w:val="1"/>
              </w:numPr>
              <w:spacing w:line="240" w:lineRule="auto"/>
              <w:ind w:leftChars="0" w:firstLineChars="0"/>
              <w:jc w:val="both"/>
              <w:rPr>
                <w:sz w:val="26"/>
                <w:szCs w:val="26"/>
              </w:rPr>
            </w:pPr>
          </w:p>
        </w:tc>
        <w:tc>
          <w:tcPr>
            <w:tcW w:w="1834" w:type="dxa"/>
            <w:vAlign w:val="center"/>
          </w:tcPr>
          <w:p w14:paraId="482ED5DA">
            <w:pPr>
              <w:spacing w:line="240" w:lineRule="auto"/>
              <w:ind w:left="1" w:hanging="3"/>
              <w:jc w:val="both"/>
              <w:rPr>
                <w:sz w:val="26"/>
                <w:szCs w:val="26"/>
              </w:rPr>
            </w:pPr>
            <w:r>
              <w:rPr>
                <w:sz w:val="26"/>
                <w:szCs w:val="26"/>
              </w:rPr>
              <w:t>Công trình xây dựng 4.500 phòng học</w:t>
            </w:r>
          </w:p>
        </w:tc>
        <w:tc>
          <w:tcPr>
            <w:tcW w:w="2351" w:type="dxa"/>
            <w:vAlign w:val="center"/>
          </w:tcPr>
          <w:p w14:paraId="47CEF1F3">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6924C460">
            <w:pPr>
              <w:spacing w:line="240" w:lineRule="auto"/>
              <w:ind w:left="1" w:hanging="3"/>
              <w:jc w:val="both"/>
              <w:rPr>
                <w:sz w:val="26"/>
                <w:szCs w:val="26"/>
              </w:rPr>
            </w:pPr>
            <w:r>
              <w:rPr>
                <w:sz w:val="26"/>
                <w:szCs w:val="26"/>
              </w:rPr>
              <w:t>- Đơn vị thực hiện: Sở Giáo dục và Đào tạo</w:t>
            </w:r>
          </w:p>
          <w:p w14:paraId="428E938E">
            <w:pPr>
              <w:spacing w:line="240" w:lineRule="auto"/>
              <w:ind w:left="1" w:hanging="3"/>
              <w:jc w:val="center"/>
              <w:rPr>
                <w:sz w:val="26"/>
                <w:szCs w:val="26"/>
              </w:rPr>
            </w:pPr>
          </w:p>
        </w:tc>
        <w:tc>
          <w:tcPr>
            <w:tcW w:w="3178" w:type="dxa"/>
            <w:vAlign w:val="center"/>
          </w:tcPr>
          <w:p w14:paraId="72BF9203">
            <w:pPr>
              <w:spacing w:line="240" w:lineRule="auto"/>
              <w:ind w:left="1" w:hanging="3"/>
              <w:jc w:val="both"/>
              <w:rPr>
                <w:sz w:val="26"/>
                <w:szCs w:val="26"/>
              </w:rPr>
            </w:pPr>
            <w:r>
              <w:rPr>
                <w:sz w:val="26"/>
                <w:szCs w:val="26"/>
              </w:rPr>
              <w:t>- Đầu tư, chuẩn hóa và hiện đại cơ sở vật chất, góp phần thực hiện thành công chương trình GDPT 2018, nâng cao các hoạt động giáo dục toàn diện cho học sinh, đáp ứng nhu cầu học tập của trẻ em trên địa bàn và yêu cầu đào tạo nhân lực trong thời kỳ mới.</w:t>
            </w:r>
          </w:p>
          <w:p w14:paraId="3A517EB7">
            <w:pPr>
              <w:spacing w:line="240" w:lineRule="auto"/>
              <w:ind w:left="1" w:hanging="3"/>
              <w:jc w:val="both"/>
              <w:rPr>
                <w:sz w:val="26"/>
                <w:szCs w:val="26"/>
              </w:rPr>
            </w:pPr>
            <w:r>
              <w:rPr>
                <w:sz w:val="26"/>
                <w:szCs w:val="26"/>
              </w:rPr>
              <w:t>- Phấn đấu giai đoạn 2023 - 2025 toàn Thành phố đạt mục tiêu thực hiện công trình xây dựng 4.500 phòng học mới đưa vào khai thác sử dụng.</w:t>
            </w:r>
          </w:p>
        </w:tc>
        <w:tc>
          <w:tcPr>
            <w:tcW w:w="1689" w:type="dxa"/>
            <w:vAlign w:val="center"/>
          </w:tcPr>
          <w:p w14:paraId="6377159C">
            <w:pPr>
              <w:spacing w:line="240" w:lineRule="auto"/>
              <w:ind w:left="1" w:hanging="3"/>
              <w:jc w:val="both"/>
              <w:rPr>
                <w:sz w:val="26"/>
                <w:szCs w:val="26"/>
              </w:rPr>
            </w:pPr>
            <w:r>
              <w:rPr>
                <w:sz w:val="26"/>
                <w:szCs w:val="26"/>
              </w:rPr>
              <w:t>Hoàn thành dịp 30/4/2025</w:t>
            </w:r>
          </w:p>
        </w:tc>
        <w:tc>
          <w:tcPr>
            <w:tcW w:w="4961" w:type="dxa"/>
            <w:vAlign w:val="center"/>
          </w:tcPr>
          <w:p w14:paraId="6A84E76C">
            <w:pPr>
              <w:spacing w:line="240" w:lineRule="auto"/>
              <w:ind w:left="1" w:hanging="3"/>
              <w:jc w:val="both"/>
              <w:rPr>
                <w:sz w:val="26"/>
                <w:szCs w:val="26"/>
              </w:rPr>
            </w:pPr>
            <w:r>
              <w:rPr>
                <w:sz w:val="26"/>
                <w:szCs w:val="26"/>
              </w:rPr>
              <w:t xml:space="preserve">- Kết quả thực hiện đầu tư xây dựng công trình từ nguồn ngân sách: phần lớn số dự án đã khởi công xây dựng thuộc Nhóm 1 nguồn vốn ngân sách đã được thông qua chủ trương đầu tư và khởi công từ giai đoạn 2016 - 2020 được chuyển tiếp sang giai đoạn 2021 - 2025, các </w:t>
            </w:r>
          </w:p>
          <w:p w14:paraId="07AF0DB4">
            <w:pPr>
              <w:spacing w:line="240" w:lineRule="auto"/>
              <w:ind w:left="1" w:hanging="3"/>
              <w:jc w:val="both"/>
              <w:rPr>
                <w:sz w:val="26"/>
                <w:szCs w:val="26"/>
              </w:rPr>
            </w:pPr>
            <w:r>
              <w:rPr>
                <w:sz w:val="26"/>
                <w:szCs w:val="26"/>
              </w:rPr>
              <w:t>dự án được thông qua chủ trương đầu tư ở giai đoạn trung hạn 2021 - 2025 hiện nay vẫn đang trong thời gian thực hiện các thủ tục của giai đoạn chuẩn bị đầu tư và bước đầu của giai đoạn thực hiện dự án do còn vướng các một số khó khăn trong thực hiện trình tự thủ tục.</w:t>
            </w:r>
          </w:p>
          <w:p w14:paraId="61AD6258">
            <w:pPr>
              <w:spacing w:line="240" w:lineRule="auto"/>
              <w:ind w:left="1" w:hanging="3"/>
              <w:jc w:val="both"/>
              <w:rPr>
                <w:sz w:val="26"/>
                <w:szCs w:val="26"/>
              </w:rPr>
            </w:pPr>
            <w:r>
              <w:rPr>
                <w:sz w:val="26"/>
                <w:szCs w:val="26"/>
              </w:rPr>
              <w:t>Căn cứ tình hình triển khai thực tế, dự kiến đến ngày 30 tháng 4 năm 2025 hoàn thành 39 dự án xây dựng mới đưa vào sử dụng 872 phòng học.</w:t>
            </w:r>
          </w:p>
          <w:p w14:paraId="53A2AD66">
            <w:pPr>
              <w:spacing w:line="240" w:lineRule="auto"/>
              <w:ind w:left="1" w:hanging="3"/>
              <w:jc w:val="both"/>
              <w:rPr>
                <w:sz w:val="26"/>
                <w:szCs w:val="26"/>
              </w:rPr>
            </w:pPr>
            <w:r>
              <w:rPr>
                <w:sz w:val="26"/>
                <w:szCs w:val="26"/>
              </w:rPr>
              <w:t>- Kết quả đầu tư từ nguồn lực xã hội hóa: Hiện nay 110 dự án thuộc hình thức đầu tư xã hội hóa</w:t>
            </w:r>
          </w:p>
          <w:p w14:paraId="22E2FD52">
            <w:pPr>
              <w:spacing w:line="240" w:lineRule="auto"/>
              <w:ind w:left="1" w:hanging="3"/>
              <w:jc w:val="both"/>
              <w:rPr>
                <w:sz w:val="26"/>
                <w:szCs w:val="26"/>
              </w:rPr>
            </w:pPr>
            <w:r>
              <w:rPr>
                <w:sz w:val="26"/>
                <w:szCs w:val="26"/>
              </w:rPr>
              <w:t>chưa có dự án nào triển khai được do còn nhiều vướng mắc. Tuy nhiên theo rà soát tình hình đầu tư của các cá nhân, tổ chức từ nguồn lực trong xã hội, dự kiến 1.266 phòng học xã hội hóa đưa vào sử dụng phục vụ nhu cầu chỗ học cho học sinh Thành phố.</w:t>
            </w:r>
          </w:p>
          <w:p w14:paraId="791CEF67">
            <w:pPr>
              <w:spacing w:line="240" w:lineRule="auto"/>
              <w:ind w:left="1" w:hanging="3"/>
              <w:jc w:val="both"/>
              <w:rPr>
                <w:sz w:val="26"/>
                <w:szCs w:val="26"/>
              </w:rPr>
            </w:pPr>
            <w:r>
              <w:rPr>
                <w:sz w:val="26"/>
                <w:szCs w:val="26"/>
              </w:rPr>
              <w:t xml:space="preserve">Như vậy từ 02 nguồn đầu tư, dự kiến đến ngày 30 tháng 4 năm 2025 toàn Thành phố sẽ đưa  vào sử dụng </w:t>
            </w:r>
            <w:r>
              <w:rPr>
                <w:b/>
                <w:bCs/>
                <w:sz w:val="26"/>
                <w:szCs w:val="26"/>
              </w:rPr>
              <w:t>2.138</w:t>
            </w:r>
            <w:r>
              <w:rPr>
                <w:sz w:val="26"/>
                <w:szCs w:val="26"/>
              </w:rPr>
              <w:t xml:space="preserve"> phòng học mới.</w:t>
            </w:r>
          </w:p>
        </w:tc>
        <w:tc>
          <w:tcPr>
            <w:tcW w:w="992" w:type="dxa"/>
            <w:gridSpan w:val="2"/>
            <w:vAlign w:val="center"/>
          </w:tcPr>
          <w:p w14:paraId="66194098">
            <w:pPr>
              <w:spacing w:line="240" w:lineRule="auto"/>
              <w:ind w:left="1" w:hanging="3"/>
              <w:jc w:val="center"/>
              <w:rPr>
                <w:sz w:val="26"/>
                <w:szCs w:val="26"/>
              </w:rPr>
            </w:pPr>
          </w:p>
        </w:tc>
      </w:tr>
      <w:tr w14:paraId="557F7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540D13AA">
            <w:pPr>
              <w:pStyle w:val="139"/>
              <w:numPr>
                <w:ilvl w:val="0"/>
                <w:numId w:val="1"/>
              </w:numPr>
              <w:spacing w:line="240" w:lineRule="auto"/>
              <w:ind w:leftChars="0" w:firstLineChars="0"/>
              <w:jc w:val="both"/>
              <w:rPr>
                <w:sz w:val="26"/>
                <w:szCs w:val="26"/>
              </w:rPr>
            </w:pPr>
          </w:p>
        </w:tc>
        <w:tc>
          <w:tcPr>
            <w:tcW w:w="1834" w:type="dxa"/>
            <w:vAlign w:val="center"/>
          </w:tcPr>
          <w:p w14:paraId="14B84B62">
            <w:pPr>
              <w:spacing w:line="240" w:lineRule="auto"/>
              <w:ind w:left="1" w:hanging="3"/>
              <w:jc w:val="both"/>
              <w:rPr>
                <w:sz w:val="26"/>
                <w:szCs w:val="26"/>
              </w:rPr>
            </w:pPr>
            <w:r>
              <w:rPr>
                <w:sz w:val="26"/>
                <w:szCs w:val="26"/>
              </w:rPr>
              <w:t>Chương trình giảm nghèo bền vững</w:t>
            </w:r>
          </w:p>
        </w:tc>
        <w:tc>
          <w:tcPr>
            <w:tcW w:w="2351" w:type="dxa"/>
            <w:vAlign w:val="center"/>
          </w:tcPr>
          <w:p w14:paraId="7D30B448">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50812B83">
            <w:pPr>
              <w:spacing w:line="240" w:lineRule="auto"/>
              <w:ind w:left="1" w:hanging="3"/>
              <w:jc w:val="both"/>
              <w:rPr>
                <w:sz w:val="26"/>
                <w:szCs w:val="26"/>
              </w:rPr>
            </w:pPr>
            <w:r>
              <w:rPr>
                <w:sz w:val="26"/>
                <w:szCs w:val="26"/>
              </w:rPr>
              <w:t>- Đơn vị chủ trì: Sở Lao động - Thương binh và Xã hội, Ủy ban Mặt trận Tổ quốc Việt Nam Thành phố</w:t>
            </w:r>
          </w:p>
        </w:tc>
        <w:tc>
          <w:tcPr>
            <w:tcW w:w="3178" w:type="dxa"/>
            <w:vAlign w:val="center"/>
          </w:tcPr>
          <w:p w14:paraId="066F1616">
            <w:pPr>
              <w:spacing w:line="240" w:lineRule="auto"/>
              <w:ind w:left="1" w:hanging="3"/>
              <w:jc w:val="both"/>
              <w:rPr>
                <w:sz w:val="26"/>
                <w:szCs w:val="26"/>
              </w:rPr>
            </w:pPr>
            <w:r>
              <w:rPr>
                <w:sz w:val="26"/>
                <w:szCs w:val="26"/>
              </w:rPr>
              <w:t>Hoàn thành chỉ tiêu Nghị quyết Đại hội Đảng bộ thành phố “Đến cuối năm 2025, cơ bản không còn hộ nghèo theo tiêu chuẩn nghèo cả nước, còn dưới 0,5% hộ nghèo theo chuẩn nghèo thành phố” trước thời hạn một năm; Phấn đấu không còn hộ nghèo theo chuẩn Thành phố giai đoạn 2021 - 2025 trên địa bàn Thành phố; Sửa chữa, xây dựng 500 căn nhà tình thương cho hộ khó khăn.</w:t>
            </w:r>
          </w:p>
        </w:tc>
        <w:tc>
          <w:tcPr>
            <w:tcW w:w="1689" w:type="dxa"/>
            <w:vAlign w:val="center"/>
          </w:tcPr>
          <w:p w14:paraId="6EAF0722">
            <w:pPr>
              <w:spacing w:line="240" w:lineRule="auto"/>
              <w:ind w:left="1" w:hanging="3"/>
              <w:jc w:val="both"/>
              <w:rPr>
                <w:sz w:val="26"/>
                <w:szCs w:val="26"/>
              </w:rPr>
            </w:pPr>
            <w:r>
              <w:rPr>
                <w:sz w:val="26"/>
                <w:szCs w:val="26"/>
              </w:rPr>
              <w:t>Hoàn thành cuối năm 2024</w:t>
            </w:r>
          </w:p>
        </w:tc>
        <w:tc>
          <w:tcPr>
            <w:tcW w:w="4961" w:type="dxa"/>
            <w:vAlign w:val="center"/>
          </w:tcPr>
          <w:p w14:paraId="4BB18595">
            <w:pPr>
              <w:spacing w:line="240" w:lineRule="auto"/>
              <w:ind w:left="1" w:hanging="3"/>
              <w:jc w:val="both"/>
              <w:rPr>
                <w:sz w:val="26"/>
                <w:szCs w:val="26"/>
              </w:rPr>
            </w:pPr>
            <w:r>
              <w:rPr>
                <w:sz w:val="26"/>
                <w:szCs w:val="26"/>
              </w:rPr>
              <w:t>Thành phố tiếp tục duy trì không còn hộ nghèo, hộ cận nghèo theo chuẩn nghèo Quốc gia, Thành phố còn lại 21.454 hộ nghèo, hộ cận nghèo, với 86.662 nhân khẩu theo chuẩn nghèo Thành phố (chiếm tỷ lệ 0,84%/tổng hộ dân Thành phố); trong đó, có 7.176 hộ nghèo, với 27.934 nhân khẩu (chiếm tỷ lệ 0,28%) và 14.278 hộ cận nghèo, với 58.728 nhân khẩu (chiếm tỷ lệ 0,56%). Thành phố đã hoàn thành chỉ tiêu Nghị quyết Đại hội đại biểu Đảng bộ Thành phố lần thứ XI, nhiệm kỳ 2020 - 2025 trước thời hạn 02 năm.</w:t>
            </w:r>
          </w:p>
          <w:p w14:paraId="745E840F">
            <w:pPr>
              <w:spacing w:line="240" w:lineRule="auto"/>
              <w:ind w:left="5" w:leftChars="2" w:firstLine="0" w:firstLineChars="0"/>
              <w:jc w:val="both"/>
              <w:rPr>
                <w:sz w:val="26"/>
                <w:szCs w:val="26"/>
              </w:rPr>
            </w:pPr>
            <w:r>
              <w:rPr>
                <w:sz w:val="26"/>
                <w:szCs w:val="26"/>
              </w:rPr>
              <w:t xml:space="preserve">Đến nay, Ủy ban </w:t>
            </w:r>
            <w:r>
              <w:rPr>
                <w:sz w:val="26"/>
                <w:szCs w:val="26"/>
                <w:highlight w:val="white"/>
              </w:rPr>
              <w:t xml:space="preserve">Mặt trận Tổ quốc Việt Nam </w:t>
            </w:r>
            <w:r>
              <w:rPr>
                <w:sz w:val="26"/>
                <w:szCs w:val="26"/>
              </w:rPr>
              <w:t>Thành phố đã hỗ trợ sửa chữa, xây dựng 575/500 căn nhà tình thương cho hộ khó khăn, với tổng số tiền là 28.231.077.850 đồng; đạt 115% theo kế hoạch đề ra; trong đó, hỗ trợ xây mới 66 căn nhà, với số tiền là 4.616.300.000 đồng và hỗ trợ sửa chữa 509 căn nhà, với số tiền là 23.614.777.850 đồng.</w:t>
            </w:r>
          </w:p>
        </w:tc>
        <w:tc>
          <w:tcPr>
            <w:tcW w:w="992" w:type="dxa"/>
            <w:gridSpan w:val="2"/>
            <w:vAlign w:val="center"/>
          </w:tcPr>
          <w:p w14:paraId="68FD38F8">
            <w:pPr>
              <w:spacing w:line="240" w:lineRule="auto"/>
              <w:ind w:left="1" w:hanging="3"/>
              <w:jc w:val="center"/>
              <w:rPr>
                <w:sz w:val="26"/>
                <w:szCs w:val="26"/>
              </w:rPr>
            </w:pPr>
          </w:p>
        </w:tc>
      </w:tr>
      <w:tr w14:paraId="7B56B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5EA83FA">
            <w:pPr>
              <w:pStyle w:val="139"/>
              <w:numPr>
                <w:ilvl w:val="0"/>
                <w:numId w:val="1"/>
              </w:numPr>
              <w:spacing w:line="240" w:lineRule="auto"/>
              <w:ind w:leftChars="0" w:firstLineChars="0"/>
              <w:jc w:val="both"/>
              <w:rPr>
                <w:sz w:val="26"/>
                <w:szCs w:val="26"/>
              </w:rPr>
            </w:pPr>
          </w:p>
        </w:tc>
        <w:tc>
          <w:tcPr>
            <w:tcW w:w="1834" w:type="dxa"/>
            <w:vAlign w:val="center"/>
          </w:tcPr>
          <w:p w14:paraId="60D5C80A">
            <w:pPr>
              <w:spacing w:line="240" w:lineRule="auto"/>
              <w:ind w:left="1" w:hanging="3"/>
              <w:jc w:val="both"/>
              <w:rPr>
                <w:sz w:val="26"/>
                <w:szCs w:val="26"/>
              </w:rPr>
            </w:pPr>
            <w:r>
              <w:rPr>
                <w:sz w:val="26"/>
                <w:szCs w:val="26"/>
              </w:rPr>
              <w:t>Chương trình nâng cao đời sống vật chất - tinh thần cho người có công với cách mạng và thân nhân người có công trên địa bàn Thành phố Hồ Chí Minh</w:t>
            </w:r>
          </w:p>
        </w:tc>
        <w:tc>
          <w:tcPr>
            <w:tcW w:w="2351" w:type="dxa"/>
            <w:vAlign w:val="center"/>
          </w:tcPr>
          <w:p w14:paraId="046806A5">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25D3A7B5">
            <w:pPr>
              <w:spacing w:line="240" w:lineRule="auto"/>
              <w:ind w:left="1" w:hanging="3"/>
              <w:jc w:val="both"/>
              <w:rPr>
                <w:sz w:val="26"/>
                <w:szCs w:val="26"/>
              </w:rPr>
            </w:pPr>
            <w:r>
              <w:rPr>
                <w:sz w:val="26"/>
                <w:szCs w:val="26"/>
              </w:rPr>
              <w:t>- Đơn vị thực hiện: Sở Lao động - Thương binh và Xã hội</w:t>
            </w:r>
          </w:p>
        </w:tc>
        <w:tc>
          <w:tcPr>
            <w:tcW w:w="3178" w:type="dxa"/>
            <w:vAlign w:val="center"/>
          </w:tcPr>
          <w:p w14:paraId="43D59455">
            <w:pPr>
              <w:spacing w:line="240" w:lineRule="auto"/>
              <w:ind w:left="1" w:hanging="3"/>
              <w:jc w:val="both"/>
              <w:rPr>
                <w:sz w:val="26"/>
                <w:szCs w:val="26"/>
              </w:rPr>
            </w:pPr>
            <w:r>
              <w:rPr>
                <w:sz w:val="26"/>
                <w:szCs w:val="26"/>
              </w:rPr>
              <w:t>Hoàn thành 100% việc chỉnh trang các Nghĩa trang liệt sĩ và các đài tưởng niệm, đền thờ, nhà bia ghi tên liệt sĩ trên địa bàn quận, huyện và thành phố Thủ Đức; Tập trung mọi nguồn lực sửa chữa, xây dựng mới nhà tình nghĩa cho người có công và thân nhân; phấn đấu hoàn thành và không để người có công và thân nhân người có công khó khăn về nhà ở, góp phần đảm bảo an sinh xã hội trên địa bàn, cụ thể, đến năm 2025 hỗ trợ xây mới, sửa chữa 140 căn nhà cho người có có công với cách mạng và thân nhân liệt sĩ.</w:t>
            </w:r>
          </w:p>
        </w:tc>
        <w:tc>
          <w:tcPr>
            <w:tcW w:w="1689" w:type="dxa"/>
            <w:vAlign w:val="center"/>
          </w:tcPr>
          <w:p w14:paraId="73A868F4">
            <w:pPr>
              <w:spacing w:line="240" w:lineRule="auto"/>
              <w:ind w:left="1" w:hanging="3"/>
              <w:jc w:val="both"/>
              <w:rPr>
                <w:sz w:val="26"/>
                <w:szCs w:val="26"/>
              </w:rPr>
            </w:pPr>
            <w:r>
              <w:rPr>
                <w:sz w:val="26"/>
                <w:szCs w:val="26"/>
              </w:rPr>
              <w:t>Hoàn thành dịp 30/4/2025</w:t>
            </w:r>
          </w:p>
        </w:tc>
        <w:tc>
          <w:tcPr>
            <w:tcW w:w="4961" w:type="dxa"/>
          </w:tcPr>
          <w:p w14:paraId="1ECF3DF2">
            <w:pPr>
              <w:spacing w:line="240" w:lineRule="auto"/>
              <w:ind w:left="1" w:hanging="3"/>
              <w:jc w:val="both"/>
              <w:rPr>
                <w:sz w:val="26"/>
                <w:szCs w:val="26"/>
              </w:rPr>
            </w:pPr>
            <w:r>
              <w:rPr>
                <w:sz w:val="26"/>
                <w:szCs w:val="26"/>
              </w:rPr>
              <w:t>- Đã hoàn thành: 237/140 căn nhà, đạt tỷ lệ 169,3% (gồm xây mới: 07 căn nhà, sửa chữa: 230 căn nhà); còn lại 33/140 căn nhà  cải tạo, sửa chữa sẽ phấn đấu thực hiện trong năm 2024. - Đối với Nghĩa trang Liệt sĩ Bình Chánh - Bình Tân và 02 công trình cải tạo, nâng cấp nghĩa trang Thành phố đề xuất từ vốn đầu tư công.</w:t>
            </w:r>
          </w:p>
          <w:p w14:paraId="0F883692">
            <w:pPr>
              <w:spacing w:line="240" w:lineRule="auto"/>
              <w:ind w:left="1" w:hanging="3"/>
              <w:jc w:val="both"/>
              <w:rPr>
                <w:sz w:val="26"/>
                <w:szCs w:val="26"/>
              </w:rPr>
            </w:pPr>
            <w:r>
              <w:rPr>
                <w:sz w:val="26"/>
                <w:szCs w:val="26"/>
              </w:rPr>
              <w:t>+ Dự án Nâng cấp, cải tạo Nghĩa trang Liệt sĩ Bình Chánh - Bình Tân với dự toán kinh phí là 70.403.000.000 đồng: Đến ngày 15 tháng 9 năm 2024, hoàn thành công trình đưa vào sử dụng các hạng mục đã được phê duyệt. Đối với hạng mục nhà truyền thống, Ban Quản lý dự án đầu tư xây dựng khu vực quận đang tiến hành lập các thủ tục điều chỉnh quy hoạch, dự kiến khởi công trong tháng 10 năm 2024 và hoàn thành đưa vào sử dụng trong tháng 12 năm 2024.</w:t>
            </w:r>
          </w:p>
          <w:p w14:paraId="77A247B7">
            <w:pPr>
              <w:spacing w:line="240" w:lineRule="auto"/>
              <w:ind w:left="1" w:hanging="3"/>
              <w:jc w:val="both"/>
              <w:rPr>
                <w:sz w:val="26"/>
                <w:szCs w:val="26"/>
              </w:rPr>
            </w:pPr>
            <w:r>
              <w:rPr>
                <w:sz w:val="26"/>
                <w:szCs w:val="26"/>
              </w:rPr>
              <w:t>+ Dự án Xây dựng mở rộng đường vành đai và ram dốc Nghĩa trang liệt sĩ Thành phố với dự toán kinh phí là 205.163.000.000 đồng: Ngày 16 tháng 7 năm 2024, Sở Xây dựng có văn bản số 6348/SXD-HTKT báo cáo Ủy ban nhân dân Thành phố về việc thẩm định báo cáo nghiên cứu khả thi đầu tư xây dựng dự án Xây dựng mở rộng đường vành đai và ram dốc Nghĩa trang liệt sĩ Thành phố, ngày 19 tháng 7 năm 2024 Văn phòng Ủy ban nhân dân Thành phố có Phiếu chuyển số 3430/PC-VP gửi Ban Quản lý dự án đầu tư xây dựng các công trình dân dụng và công nghiệp khẩn trương phối hợp các đơn vị liên quan nghiên cứu, thực hiện hoàn chỉnh hồ sơ báo cáo nghiên cứu tiền khả thi của dự án và dự án Xây dựng bổ sung, cải tạo Nghĩa trang Thành phố (Lạc Cảnh) với dự toán kinh phí là 88.510.000.000 đồng: Ngày 17 tháng 7 năm 2024, Ban Quản lý dự án đầu tư xây dựng các công trình dân dụng và công nghiệp có Tờ trình số 157/TTr-DDCN gửi Sở Xây dựng đề nghị thẩm định Báo cáo nghiên cứu khả thi đầu tư xây dựng dự án.</w:t>
            </w:r>
          </w:p>
          <w:p w14:paraId="27A63F07">
            <w:pPr>
              <w:spacing w:line="240" w:lineRule="auto"/>
              <w:ind w:left="1" w:hanging="3"/>
              <w:jc w:val="both"/>
              <w:rPr>
                <w:sz w:val="26"/>
                <w:szCs w:val="26"/>
              </w:rPr>
            </w:pPr>
            <w:r>
              <w:rPr>
                <w:sz w:val="26"/>
                <w:szCs w:val="26"/>
              </w:rPr>
              <w:t xml:space="preserve">- Đối với việc chỉnh trang các nghĩa trang liệt sĩ, đài tưởng niệm, đền thờ liệt sĩ và nhà bia ghi tên liệt sĩ: Ủy ban nhân dân quận, huyện, thành phố Thủ Đức và Ban Quản trang Thành phố đang triển khai đến các đơn vị, phòng ban chuyên môn có liên quan để thực hiện sửa chữa. Hiện nay, còn 83/89 công trình sử dụng ngân sách thành phố giao với tổng số tiền </w:t>
            </w:r>
            <w:r>
              <w:rPr>
                <w:b/>
                <w:bCs/>
                <w:sz w:val="26"/>
                <w:szCs w:val="26"/>
              </w:rPr>
              <w:t>86.561.850.000</w:t>
            </w:r>
            <w:r>
              <w:rPr>
                <w:sz w:val="26"/>
                <w:szCs w:val="26"/>
              </w:rPr>
              <w:t xml:space="preserve"> đồng, cụ thể:</w:t>
            </w:r>
          </w:p>
          <w:p w14:paraId="2FCCB9A6">
            <w:pPr>
              <w:spacing w:line="240" w:lineRule="auto"/>
              <w:ind w:left="5" w:leftChars="2" w:firstLine="0" w:firstLineChars="0"/>
              <w:jc w:val="both"/>
              <w:rPr>
                <w:sz w:val="26"/>
                <w:szCs w:val="26"/>
              </w:rPr>
            </w:pPr>
            <w:r>
              <w:rPr>
                <w:sz w:val="26"/>
                <w:szCs w:val="26"/>
              </w:rPr>
              <w:t>+ Có 31/83 công trình đã hoàn thành với tổng số tiền 21.433.390.000 đồng.</w:t>
            </w:r>
          </w:p>
          <w:p w14:paraId="5BFAE16E">
            <w:pPr>
              <w:spacing w:line="240" w:lineRule="auto"/>
              <w:ind w:left="1" w:hanging="3"/>
              <w:jc w:val="both"/>
              <w:rPr>
                <w:sz w:val="26"/>
                <w:szCs w:val="26"/>
              </w:rPr>
            </w:pPr>
            <w:r>
              <w:rPr>
                <w:sz w:val="26"/>
                <w:szCs w:val="26"/>
              </w:rPr>
              <w:t>+ Có 08/83 công trình dự kiến hoàn thành trong tháng 9/2024 với tổng số tiền 6.093.000.000 đồng.</w:t>
            </w:r>
          </w:p>
          <w:p w14:paraId="42A727C8">
            <w:pPr>
              <w:spacing w:line="240" w:lineRule="auto"/>
              <w:ind w:left="1" w:hanging="3"/>
              <w:jc w:val="both"/>
              <w:rPr>
                <w:sz w:val="26"/>
                <w:szCs w:val="26"/>
              </w:rPr>
            </w:pPr>
            <w:r>
              <w:rPr>
                <w:sz w:val="26"/>
                <w:szCs w:val="26"/>
              </w:rPr>
              <w:t>+ Có 38/83 công trình dự kiến hoàn thành trong quý 4/2024 với tổng số tiền 55.390.460.000 đồng.</w:t>
            </w:r>
          </w:p>
          <w:p w14:paraId="21ADEFEF">
            <w:pPr>
              <w:spacing w:line="240" w:lineRule="auto"/>
              <w:ind w:left="1" w:hanging="3"/>
              <w:jc w:val="both"/>
              <w:rPr>
                <w:sz w:val="26"/>
                <w:szCs w:val="26"/>
              </w:rPr>
            </w:pPr>
            <w:r>
              <w:rPr>
                <w:sz w:val="26"/>
                <w:szCs w:val="26"/>
              </w:rPr>
              <w:t>+ Còn 06/83 công trình dự kiến hoàn thành trong quý 1/2025 là Công trình Bia tưởng niệm căn cứ Hố Bần của Quận 6 và 05 công trình của Quận 10 với tổng số tiền 3.645.000.000 đồng.</w:t>
            </w:r>
          </w:p>
          <w:p w14:paraId="28DA7A38">
            <w:pPr>
              <w:spacing w:line="240" w:lineRule="auto"/>
              <w:ind w:left="1" w:hanging="3"/>
              <w:jc w:val="both"/>
              <w:rPr>
                <w:sz w:val="26"/>
                <w:szCs w:val="26"/>
              </w:rPr>
            </w:pPr>
            <w:r>
              <w:rPr>
                <w:sz w:val="26"/>
                <w:szCs w:val="26"/>
              </w:rPr>
              <w:t>-  Tiếp tục thực hiện công tác chăm lo đời sống vật chất, tinh thần đối với người có công với cách mạng và thân nhân người có công với cách mạng; rà soát, lập danh sách các cá nhân trực tiếp tham gia chiến dịch Hồ Chí Minh làm nên Đại thắng mùa xuân 1975 đang cư ngụ tại địa bàn Thành phố Hồ Chí Minh và các tỉnh, thành khác trên cả nước, tham mưu đề xuất chủ trương về tổ chức họp mặt tôn vinh tri ân nhân dịp chào mừng kỷ niệm 50 năm ngày Giải phóng Miền Nam, thống nhất đất nước (30/4/1975 - 30/4/2025)…</w:t>
            </w:r>
          </w:p>
        </w:tc>
        <w:tc>
          <w:tcPr>
            <w:tcW w:w="992" w:type="dxa"/>
            <w:gridSpan w:val="2"/>
            <w:vAlign w:val="center"/>
          </w:tcPr>
          <w:p w14:paraId="608F7A61">
            <w:pPr>
              <w:spacing w:line="240" w:lineRule="auto"/>
              <w:ind w:left="1" w:hanging="3"/>
              <w:jc w:val="center"/>
              <w:rPr>
                <w:sz w:val="26"/>
                <w:szCs w:val="26"/>
              </w:rPr>
            </w:pPr>
          </w:p>
        </w:tc>
      </w:tr>
      <w:tr w14:paraId="7F8FD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8061698">
            <w:pPr>
              <w:pStyle w:val="139"/>
              <w:numPr>
                <w:ilvl w:val="0"/>
                <w:numId w:val="1"/>
              </w:numPr>
              <w:spacing w:line="240" w:lineRule="auto"/>
              <w:ind w:leftChars="0" w:firstLineChars="0"/>
              <w:jc w:val="both"/>
              <w:rPr>
                <w:sz w:val="26"/>
                <w:szCs w:val="26"/>
              </w:rPr>
            </w:pPr>
          </w:p>
        </w:tc>
        <w:tc>
          <w:tcPr>
            <w:tcW w:w="1834" w:type="dxa"/>
            <w:vAlign w:val="center"/>
          </w:tcPr>
          <w:p w14:paraId="2C9D99AA">
            <w:pPr>
              <w:spacing w:line="240" w:lineRule="auto"/>
              <w:ind w:left="1" w:hanging="3"/>
              <w:jc w:val="both"/>
              <w:rPr>
                <w:sz w:val="26"/>
                <w:szCs w:val="26"/>
              </w:rPr>
            </w:pPr>
            <w:r>
              <w:rPr>
                <w:sz w:val="26"/>
                <w:szCs w:val="26"/>
              </w:rPr>
              <w:t>Chương trình nâng cao chương trình xây dựng nông thôn mới</w:t>
            </w:r>
          </w:p>
        </w:tc>
        <w:tc>
          <w:tcPr>
            <w:tcW w:w="2351" w:type="dxa"/>
            <w:vAlign w:val="center"/>
          </w:tcPr>
          <w:p w14:paraId="351CDD6F">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2F67BA86">
            <w:pPr>
              <w:spacing w:line="240" w:lineRule="auto"/>
              <w:ind w:left="1" w:hanging="3"/>
              <w:jc w:val="both"/>
              <w:rPr>
                <w:sz w:val="26"/>
                <w:szCs w:val="26"/>
              </w:rPr>
            </w:pPr>
            <w:r>
              <w:rPr>
                <w:sz w:val="26"/>
                <w:szCs w:val="26"/>
              </w:rPr>
              <w:t>- Đơn vị thực hiện: Sở Nông nghiệp và Phát triển nông thôn</w:t>
            </w:r>
          </w:p>
        </w:tc>
        <w:tc>
          <w:tcPr>
            <w:tcW w:w="3178" w:type="dxa"/>
            <w:vAlign w:val="center"/>
          </w:tcPr>
          <w:p w14:paraId="396B804B">
            <w:pPr>
              <w:spacing w:line="240" w:lineRule="auto"/>
              <w:ind w:left="1" w:hanging="3"/>
              <w:jc w:val="both"/>
              <w:rPr>
                <w:sz w:val="26"/>
                <w:szCs w:val="26"/>
              </w:rPr>
            </w:pPr>
            <w:r>
              <w:rPr>
                <w:sz w:val="26"/>
                <w:szCs w:val="26"/>
              </w:rPr>
              <w:t>01/5 huyện đạt chuẩn huyện nông thôn mới nâng cao giai đoạn 2021 - 2025; các huyện còn lại đáp ứng yêu cầu đạt chuẩn huyện nông thôn mới giai đoạn 2021 - 2025; Ít nhất 28/56 xã (50%) đạt chuẩn xã nông thôn mới nâng cao giai đoạn 2021 - 2025;  Đề án xây dựng nông thôn mới trên địa bàn vùng nông thôn Thành phố Hồ Chí Minh giai đoạn 2021 - 2025; Có ít nhất 70% số km đường huyện, đường Thành phố, quốc lộ trên địa bàn được trồng cây xanh dọc tuyến đường; Đất cây xanh sử dụng công cộng trên địa bàn tối thiểu là 4m2/người; Chỉ số hài lòng của người dân, tổ chức đối với sự phục vụ của cơ quan hành chính nhà nước thuộc Thành phố quản lý đạt từ 90% trở lên.</w:t>
            </w:r>
          </w:p>
        </w:tc>
        <w:tc>
          <w:tcPr>
            <w:tcW w:w="1689" w:type="dxa"/>
            <w:vAlign w:val="center"/>
          </w:tcPr>
          <w:p w14:paraId="6C25A060">
            <w:pPr>
              <w:spacing w:line="240" w:lineRule="auto"/>
              <w:ind w:left="1" w:hanging="3"/>
              <w:jc w:val="both"/>
              <w:rPr>
                <w:sz w:val="26"/>
                <w:szCs w:val="26"/>
              </w:rPr>
            </w:pPr>
            <w:r>
              <w:rPr>
                <w:sz w:val="26"/>
                <w:szCs w:val="26"/>
              </w:rPr>
              <w:t>Hoàn thành dịp 30/4/2025</w:t>
            </w:r>
          </w:p>
        </w:tc>
        <w:tc>
          <w:tcPr>
            <w:tcW w:w="4961" w:type="dxa"/>
            <w:vAlign w:val="center"/>
          </w:tcPr>
          <w:p w14:paraId="7A8668A0">
            <w:pPr>
              <w:spacing w:line="240" w:lineRule="auto"/>
              <w:ind w:left="1" w:hanging="3"/>
              <w:jc w:val="both"/>
              <w:rPr>
                <w:sz w:val="26"/>
                <w:szCs w:val="26"/>
              </w:rPr>
            </w:pPr>
            <w:r>
              <w:rPr>
                <w:sz w:val="26"/>
                <w:szCs w:val="26"/>
              </w:rPr>
              <w:t>1. Nội dung “01/5 huyện đạt chuẩn huyện nông thôn mới nâng cao giai đoạn 2021 - 2025”: Đến nay, số tiêu chí huyện nông thôn mới nâng cao đạt chuẩn bình quân tại 05 huyện nông thôn mới là 03/09 tiêu chí. Trong đó, huyện đạt tiêu chí cao nhất là 05/09 tiêu chí, thấp nhất là 01/09 tiêu chí.</w:t>
            </w:r>
          </w:p>
          <w:p w14:paraId="1168B5BE">
            <w:pPr>
              <w:spacing w:line="240" w:lineRule="auto"/>
              <w:ind w:left="1" w:hanging="3"/>
              <w:jc w:val="both"/>
              <w:rPr>
                <w:sz w:val="26"/>
                <w:szCs w:val="26"/>
              </w:rPr>
            </w:pPr>
            <w:r>
              <w:rPr>
                <w:sz w:val="26"/>
                <w:szCs w:val="26"/>
              </w:rPr>
              <w:t>2. Nội dung “Các huyện còn lại đáp ứng yêu cầu đạt chuẩn huyện nông thôn mới giai đoạn 2021 - 2025”: Thủ tướng Chính phủ đã công nhận 5/5 huyện đạt chuẩn nông thôn mới, tuy nhiên, hiện nay các huyện đang rà soát thực hiện nhằm đáp ứng yêu cầu đạt chuẩn huyện nông thôn mới giai đoạn 2021 - 2025”.</w:t>
            </w:r>
          </w:p>
          <w:p w14:paraId="7910F7FC">
            <w:pPr>
              <w:spacing w:line="240" w:lineRule="auto"/>
              <w:ind w:left="1" w:hanging="3"/>
              <w:jc w:val="both"/>
              <w:rPr>
                <w:sz w:val="26"/>
                <w:szCs w:val="26"/>
              </w:rPr>
            </w:pPr>
            <w:r>
              <w:rPr>
                <w:sz w:val="26"/>
                <w:szCs w:val="26"/>
              </w:rPr>
              <w:t>3. Nội dung “Ít nhất 28/56 xã (50%) đạt chuẩn xã nông thôn mới nâng cao giai đoạn 2021 - 2025”: 56/56 xã đã được Ủy ban nhân dân Thành phố công nhận xã đạt chuẩn nông thôn mới nâng cao giai đoạn 2016 - 2020. Hiện nay, các xã đang tiếp tục thực hiện rà soát, đánh giá đáp ứng đạt theo Bộ tiêu chí xã nông thôn mới nâng cao gắn với đô thị hóa trên địa bàn vùng nông thôn Thành phố Hồ Chí Minh giai đoạn 2021 - 2025 tại Quyết định số 2476/QĐ-UBND ngày 16 tháng 6 năm 2023 của Ủy ban nhân dân Thành phố, đến nay, số tiêu chí xã nông thôn mới nâng cao đạt chuẩn bình quân tại 56 xã xây dựng nông thôn mới là 13,5/19 tiêu chí (xã đạt tiêu chí cao nhất là 18/19 tiêu chí, thấp nhất là 08/19 tiêu chí).</w:t>
            </w:r>
          </w:p>
          <w:p w14:paraId="1B068712">
            <w:pPr>
              <w:spacing w:line="240" w:lineRule="auto"/>
              <w:ind w:left="1" w:hanging="3"/>
              <w:jc w:val="both"/>
              <w:rPr>
                <w:sz w:val="26"/>
                <w:szCs w:val="26"/>
              </w:rPr>
            </w:pPr>
            <w:r>
              <w:rPr>
                <w:sz w:val="26"/>
                <w:szCs w:val="26"/>
              </w:rPr>
              <w:t>4. Nội dung “Đề án xây dựng nông thôn mới trên địa bàn vùng nông thôn Thành phố Hồ Chí Minh giai đoạn 2021 - 2025”: Ngày 19 tháng 5 năm 2024, Hội đồng nhân dân Thành phố đã ban hành Nghị quyết số 30/NQ-HĐND thông qua Đề án xây dựng nông thôn mới trên địa bàn vùng nông thôn Thành phố Hồ Chí Minh giai đoạn 2021 - 2025.</w:t>
            </w:r>
          </w:p>
          <w:p w14:paraId="64786F37">
            <w:pPr>
              <w:spacing w:line="240" w:lineRule="auto"/>
              <w:ind w:left="1" w:hanging="3"/>
              <w:jc w:val="both"/>
              <w:rPr>
                <w:sz w:val="26"/>
                <w:szCs w:val="26"/>
              </w:rPr>
            </w:pPr>
            <w:r>
              <w:rPr>
                <w:sz w:val="26"/>
                <w:szCs w:val="26"/>
              </w:rPr>
              <w:t>5. Nội dung “Ít nhất 70% số km đường huyện, Thành phố, quốc lộ được trồng cây xanh dọc tuyến đường”: Thành phố đã có kế hoạch phát triển cây xanh cảnh quan, đường phố giai đoạn 2021 - 2025, theo các dự án xây dựng mới, nâng cấp - mở rộng đường, cầu vượt, nút giao thông; dự án cải thiện môi trường nước, xây dựng, cải tạo bờ kè ven sông, kênh, rạch trong đô thị; trồng cây phủ xanh các khu đất dự trữ, dọc theo hành lang an toàn giao thông và trồng bổ sung vào vị trí còn trống trên các tuyến đường…</w:t>
            </w:r>
          </w:p>
          <w:p w14:paraId="7B4F7B3A">
            <w:pPr>
              <w:spacing w:line="240" w:lineRule="auto"/>
              <w:ind w:left="1" w:hanging="3"/>
              <w:jc w:val="both"/>
              <w:rPr>
                <w:sz w:val="26"/>
                <w:szCs w:val="26"/>
              </w:rPr>
            </w:pPr>
            <w:r>
              <w:rPr>
                <w:sz w:val="26"/>
                <w:szCs w:val="26"/>
              </w:rPr>
              <w:t>6. Nội dung “Đất cây xanh sử dụng công cộng trên địa bàn tối thiểu là 4 m</w:t>
            </w:r>
            <w:r>
              <w:rPr>
                <w:sz w:val="26"/>
                <w:szCs w:val="26"/>
                <w:vertAlign w:val="superscript"/>
              </w:rPr>
              <w:t>2</w:t>
            </w:r>
            <w:r>
              <w:rPr>
                <w:sz w:val="26"/>
                <w:szCs w:val="26"/>
              </w:rPr>
              <w:t>/người”: Đến cuối năm 2025, tổng số cây xanh sẽ trồng và cải tạo được dự kiến là 34.885 cây, đạt 116% so với chỉ tiêu đề ra là 20.000 cây.</w:t>
            </w:r>
          </w:p>
          <w:p w14:paraId="33374FA4">
            <w:pPr>
              <w:spacing w:line="240" w:lineRule="auto"/>
              <w:ind w:left="1" w:hanging="3"/>
              <w:jc w:val="both"/>
              <w:rPr>
                <w:sz w:val="26"/>
                <w:szCs w:val="26"/>
              </w:rPr>
            </w:pPr>
            <w:r>
              <w:rPr>
                <w:sz w:val="26"/>
                <w:szCs w:val="26"/>
              </w:rPr>
              <w:t>7. Nội dung “Chỉ số hài lòng của người dân, tổ chức đối với sự phục vụ của cơ quan hành chính nhà nước thuộc tỉnh, thành phố trực thuộc Trung ương quản lý đạt từ 90% trở lên”. Sở Nội vụ có Công văn số 3778/SNV-CCHC ngày 28 tháng 5 năm 2024 gửi Bộ Nội vụ về việc rà soát khó khăn, vướng mắc trong thực hiện nội dung số 8, Quyết định số 321/QĐ-TTg ngày 08 tháng 3 năm 2022 của Thủ tướng Chính phủ, trong đó, đề xuất điều chỉnh nội dung thành “Chỉ số hài lòng của người dân, tổ chức đối với sự phục vụ của cơ quan hành chính nhà nước thuộc tỉnh, thành phố trực thuộc trung ương quản lý đạt từ 80% trở lên”. Đối với nội dung này, năm 2023 Thành phố Hồ Chí Minh đạt 81,78%.</w:t>
            </w:r>
          </w:p>
        </w:tc>
        <w:tc>
          <w:tcPr>
            <w:tcW w:w="992" w:type="dxa"/>
            <w:gridSpan w:val="2"/>
            <w:vAlign w:val="center"/>
          </w:tcPr>
          <w:p w14:paraId="6BF70BE2">
            <w:pPr>
              <w:spacing w:line="240" w:lineRule="auto"/>
              <w:ind w:left="1" w:hanging="3"/>
              <w:jc w:val="center"/>
              <w:rPr>
                <w:sz w:val="26"/>
                <w:szCs w:val="26"/>
              </w:rPr>
            </w:pPr>
          </w:p>
        </w:tc>
      </w:tr>
      <w:tr w14:paraId="22062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D43A9D8">
            <w:pPr>
              <w:pStyle w:val="139"/>
              <w:numPr>
                <w:ilvl w:val="0"/>
                <w:numId w:val="1"/>
              </w:numPr>
              <w:spacing w:line="240" w:lineRule="auto"/>
              <w:ind w:leftChars="0" w:firstLineChars="0"/>
              <w:jc w:val="both"/>
              <w:rPr>
                <w:sz w:val="26"/>
                <w:szCs w:val="26"/>
              </w:rPr>
            </w:pPr>
          </w:p>
        </w:tc>
        <w:tc>
          <w:tcPr>
            <w:tcW w:w="1834" w:type="dxa"/>
            <w:vAlign w:val="center"/>
          </w:tcPr>
          <w:p w14:paraId="37D79E35">
            <w:pPr>
              <w:spacing w:line="240" w:lineRule="auto"/>
              <w:ind w:left="1" w:hanging="3"/>
              <w:jc w:val="both"/>
              <w:rPr>
                <w:sz w:val="26"/>
                <w:szCs w:val="26"/>
              </w:rPr>
            </w:pPr>
            <w:r>
              <w:rPr>
                <w:sz w:val="26"/>
                <w:szCs w:val="26"/>
              </w:rPr>
              <w:t>Chương trình xây dựng đường sách và văn hóa đọc</w:t>
            </w:r>
          </w:p>
        </w:tc>
        <w:tc>
          <w:tcPr>
            <w:tcW w:w="2351" w:type="dxa"/>
            <w:vAlign w:val="center"/>
          </w:tcPr>
          <w:p w14:paraId="65DD2FD1">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71805996">
            <w:pPr>
              <w:spacing w:line="240" w:lineRule="auto"/>
              <w:ind w:left="1" w:hanging="3"/>
              <w:jc w:val="both"/>
              <w:rPr>
                <w:sz w:val="26"/>
                <w:szCs w:val="26"/>
              </w:rPr>
            </w:pPr>
            <w:r>
              <w:rPr>
                <w:sz w:val="26"/>
                <w:szCs w:val="26"/>
              </w:rPr>
              <w:t>- Đơn vị chủ trì: Sở Thông tin và Truyền thông</w:t>
            </w:r>
          </w:p>
        </w:tc>
        <w:tc>
          <w:tcPr>
            <w:tcW w:w="3178" w:type="dxa"/>
            <w:vAlign w:val="center"/>
          </w:tcPr>
          <w:p w14:paraId="63F9C893">
            <w:pPr>
              <w:spacing w:line="240" w:lineRule="auto"/>
              <w:ind w:left="1" w:hanging="3"/>
              <w:jc w:val="both"/>
              <w:rPr>
                <w:sz w:val="26"/>
                <w:szCs w:val="26"/>
              </w:rPr>
            </w:pPr>
            <w:r>
              <w:rPr>
                <w:sz w:val="26"/>
                <w:szCs w:val="26"/>
              </w:rPr>
              <w:t>Nhân rộng hệ thống Đường Sách trên địa bàn Thành phố (phía Đông: Thành phố Thủ Đức; phía Tây: Quận Bình Tân; phía Nam: Quận 7, phía Bắc: huyện Củ Chi); Phát huy vai trò của ngành xuất bản, phát hành và phát triển phong trào đọc sách là một trong những yếu tố quan trọng phát triển văn hóa đọc nói riêng và phát triển văn hóa Việt Nam nói chung; Trang bị 5 triệu quyển sách cho học sinh.</w:t>
            </w:r>
          </w:p>
        </w:tc>
        <w:tc>
          <w:tcPr>
            <w:tcW w:w="1689" w:type="dxa"/>
            <w:vAlign w:val="center"/>
          </w:tcPr>
          <w:p w14:paraId="00909DA0">
            <w:pPr>
              <w:spacing w:line="240" w:lineRule="auto"/>
              <w:ind w:left="1" w:hanging="3"/>
              <w:jc w:val="both"/>
              <w:rPr>
                <w:sz w:val="26"/>
                <w:szCs w:val="26"/>
              </w:rPr>
            </w:pPr>
            <w:r>
              <w:rPr>
                <w:sz w:val="26"/>
                <w:szCs w:val="26"/>
              </w:rPr>
              <w:t>Hoàn thành dịp 30/4/2025</w:t>
            </w:r>
          </w:p>
        </w:tc>
        <w:tc>
          <w:tcPr>
            <w:tcW w:w="496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46FBBE05">
            <w:pPr>
              <w:spacing w:line="240" w:lineRule="auto"/>
              <w:ind w:left="1" w:hanging="3"/>
              <w:jc w:val="both"/>
              <w:rPr>
                <w:b/>
                <w:i/>
                <w:sz w:val="26"/>
                <w:szCs w:val="26"/>
              </w:rPr>
            </w:pPr>
            <w:r>
              <w:rPr>
                <w:b/>
                <w:sz w:val="26"/>
                <w:szCs w:val="26"/>
              </w:rPr>
              <w:t>Đối với nhiệm vụ 1</w:t>
            </w:r>
            <w:r>
              <w:rPr>
                <w:sz w:val="26"/>
                <w:szCs w:val="26"/>
              </w:rPr>
              <w:t>:</w:t>
            </w:r>
            <w:r>
              <w:rPr>
                <w:b/>
                <w:i/>
                <w:sz w:val="26"/>
                <w:szCs w:val="26"/>
              </w:rPr>
              <w:t xml:space="preserve"> Xây dựng hệ thống Đường Sách trên địa bàn Thành phố:</w:t>
            </w:r>
          </w:p>
          <w:p w14:paraId="42B596D1">
            <w:pPr>
              <w:spacing w:line="240" w:lineRule="auto"/>
              <w:ind w:left="1" w:hanging="3"/>
              <w:jc w:val="both"/>
              <w:rPr>
                <w:sz w:val="26"/>
                <w:szCs w:val="26"/>
              </w:rPr>
            </w:pPr>
            <w:r>
              <w:rPr>
                <w:b/>
                <w:sz w:val="26"/>
                <w:szCs w:val="26"/>
              </w:rPr>
              <w:t xml:space="preserve">+ </w:t>
            </w:r>
            <w:r>
              <w:rPr>
                <w:b/>
                <w:i/>
                <w:sz w:val="26"/>
                <w:szCs w:val="26"/>
              </w:rPr>
              <w:t xml:space="preserve">Đường sách Nguyễn Đổng Chi </w:t>
            </w:r>
            <w:r>
              <w:rPr>
                <w:sz w:val="26"/>
                <w:szCs w:val="26"/>
              </w:rPr>
              <w:t>(Quận 7): Ủy ban nhân dân Quận 7 đã ban hành Quyết định số 1847/QĐ-UBND ngày 21/8/2024 về việc điều chỉnh, bổ sung Đề án Đường sách Nguyễn Đổng Chi, Quận 7 (lần 3), dự kiến thi công công trình Đường sách Nguyễn Đổng Chi trong tháng 11 năm 2024; khánh thành và đi vào hoạt động trong tháng 02 năm 2024.</w:t>
            </w:r>
          </w:p>
          <w:p w14:paraId="4B679C6D">
            <w:pPr>
              <w:spacing w:line="240" w:lineRule="auto"/>
              <w:ind w:left="1" w:hanging="3"/>
              <w:jc w:val="both"/>
              <w:rPr>
                <w:sz w:val="26"/>
                <w:szCs w:val="26"/>
              </w:rPr>
            </w:pPr>
            <w:r>
              <w:rPr>
                <w:sz w:val="26"/>
                <w:szCs w:val="26"/>
              </w:rPr>
              <w:t xml:space="preserve">+ </w:t>
            </w:r>
            <w:r>
              <w:rPr>
                <w:b/>
                <w:i/>
                <w:sz w:val="26"/>
                <w:szCs w:val="26"/>
              </w:rPr>
              <w:t>Không gian sách Huyện Củ Chi</w:t>
            </w:r>
            <w:r>
              <w:rPr>
                <w:sz w:val="26"/>
                <w:szCs w:val="26"/>
              </w:rPr>
              <w:t xml:space="preserve"> (Trung tâm Văn hóa - Thể thao và Truyền thông huyện Củ Chi, số 01, Tỉnh lộ 8, Khu phố 1, </w:t>
            </w:r>
            <w:r>
              <w:rPr>
                <w:sz w:val="26"/>
                <w:szCs w:val="26"/>
                <w:highlight w:val="white"/>
              </w:rPr>
              <w:t xml:space="preserve">Thị Trấn Củ Chi, Huyện Củ Chi): </w:t>
            </w:r>
            <w:r>
              <w:rPr>
                <w:sz w:val="26"/>
                <w:szCs w:val="26"/>
              </w:rPr>
              <w:t xml:space="preserve">Đã hoàn chỉnh dự thảo Đề án, thiết kế tổng thể, chi tiết, tháng 10 năm 2024, Ủy ban nhân dân huyện trình Thường trực Ủy ban nhân dân Thành phố thông qua Đề án Không gian sách huyện Củ Chi, dự kiến tổ chức triển khai trong tháng 11 năm 2024; khánh </w:t>
            </w:r>
            <w:r>
              <w:rPr>
                <w:spacing w:val="-8"/>
                <w:kern w:val="16"/>
                <w:sz w:val="26"/>
                <w:szCs w:val="26"/>
              </w:rPr>
              <w:t>thành và đi vào hoạt động trong tháng 3 năm 2025.</w:t>
            </w:r>
          </w:p>
          <w:p w14:paraId="60E8ECE5">
            <w:pPr>
              <w:spacing w:line="240" w:lineRule="auto"/>
              <w:ind w:left="1" w:hanging="3"/>
              <w:jc w:val="both"/>
              <w:rPr>
                <w:sz w:val="26"/>
                <w:szCs w:val="26"/>
              </w:rPr>
            </w:pPr>
            <w:r>
              <w:rPr>
                <w:sz w:val="26"/>
                <w:szCs w:val="26"/>
              </w:rPr>
              <w:t xml:space="preserve">+ </w:t>
            </w:r>
            <w:r>
              <w:rPr>
                <w:b/>
                <w:i/>
                <w:sz w:val="26"/>
                <w:szCs w:val="26"/>
              </w:rPr>
              <w:t>Không gian sách Quận Bình Tân</w:t>
            </w:r>
            <w:r>
              <w:rPr>
                <w:sz w:val="26"/>
                <w:szCs w:val="26"/>
              </w:rPr>
              <w:t xml:space="preserve"> (Công viên cây xanh tại đường số 19, phường Bình Trị Đông B, Quận Bình Tân): Đã hoàn chỉnh dự thảo Đề án, thiết kế tổng thể, chi tiết, tháng 10 năm 2024, Ủy ban nhân dân quận trình Thường trực Ủy ban nhân dân Thành phố thông qua Đề án Không gian sách huyện Củ Chi, dự kiến tổ chức triển khai trong tháng 11 nă 2024; khánh </w:t>
            </w:r>
            <w:r>
              <w:rPr>
                <w:spacing w:val="-10"/>
                <w:sz w:val="26"/>
                <w:szCs w:val="26"/>
              </w:rPr>
              <w:t>thành và đi vào hoạt động trong tháng 3 năm 2025.</w:t>
            </w:r>
          </w:p>
          <w:p w14:paraId="62D4EB3A">
            <w:pPr>
              <w:spacing w:line="240" w:lineRule="auto"/>
              <w:ind w:left="1" w:hanging="3"/>
              <w:jc w:val="both"/>
              <w:rPr>
                <w:i/>
                <w:sz w:val="26"/>
                <w:szCs w:val="26"/>
              </w:rPr>
            </w:pPr>
            <w:r>
              <w:rPr>
                <w:sz w:val="26"/>
                <w:szCs w:val="26"/>
              </w:rPr>
              <w:t xml:space="preserve">+ </w:t>
            </w:r>
            <w:r>
              <w:rPr>
                <w:b/>
                <w:i/>
                <w:sz w:val="26"/>
                <w:szCs w:val="26"/>
              </w:rPr>
              <w:t>Đường sách Thành phố Thủ Đức</w:t>
            </w:r>
            <w:r>
              <w:rPr>
                <w:sz w:val="26"/>
                <w:szCs w:val="26"/>
              </w:rPr>
              <w:t xml:space="preserve"> đã đi vào hoạt động ngày 22 tháng 12 năm 2023. Tháng 7 năm 2024 đã tổ chức họp sơ kết 6 tháng, theo báo cáo của Ban Quản lý Đường sách TP. Thủ Đức, trong 6 tháng hoạt động, tại khu vực Đường Sách thành phố Thủ Đức đã diễn ra 171 hoạt động, sự kiện, chương trình với đa dạng các loại hình, thu hút khoảng 160.000 lượt người tham gia. Doanh thu sau 6 tháng hoạt động: 8.354.576.918 đồng. Số bản sách bán ra sau 6 tháng hoạt động: 122,747 cuốn </w:t>
            </w:r>
            <w:r>
              <w:rPr>
                <w:i/>
                <w:sz w:val="26"/>
                <w:szCs w:val="26"/>
              </w:rPr>
              <w:t>(Trong đó, số lượng sách thiếu nhi bán ra là 59,401 cuốn, chiếm 48,4% tổng số lượng sách bán ra).</w:t>
            </w:r>
          </w:p>
          <w:p w14:paraId="1D50E857">
            <w:pPr>
              <w:spacing w:line="240" w:lineRule="auto"/>
              <w:ind w:left="1" w:hanging="3"/>
              <w:jc w:val="both"/>
              <w:rPr>
                <w:sz w:val="26"/>
                <w:szCs w:val="26"/>
              </w:rPr>
            </w:pPr>
            <w:r>
              <w:rPr>
                <w:sz w:val="26"/>
                <w:szCs w:val="26"/>
              </w:rPr>
              <w:t xml:space="preserve">+ </w:t>
            </w:r>
            <w:r>
              <w:rPr>
                <w:b/>
                <w:i/>
                <w:sz w:val="26"/>
                <w:szCs w:val="26"/>
              </w:rPr>
              <w:t>Đường sách Thành phố Hồ Chí Minh:</w:t>
            </w:r>
            <w:r>
              <w:rPr>
                <w:sz w:val="26"/>
                <w:szCs w:val="26"/>
              </w:rPr>
              <w:t xml:space="preserve"> Tổng số sách bán ra 6 tháng đầu năm đạt 340,321 cuốn, số tựa sách mới 1,911 cuốn, doanh thu ước đạt 28,873,454,655 đồng,</w:t>
            </w:r>
            <w:r>
              <w:rPr>
                <w:b/>
                <w:sz w:val="26"/>
                <w:szCs w:val="26"/>
              </w:rPr>
              <w:t xml:space="preserve"> </w:t>
            </w:r>
            <w:r>
              <w:rPr>
                <w:sz w:val="26"/>
                <w:szCs w:val="26"/>
              </w:rPr>
              <w:t>riêng mảng sách dành cho thiếu nhi khoảng 4.56 tỷ, chiếm 15.8% trong tổng doanh thu. Trong thời gian tới, Sở Thông tin và Truyền thông sẽ chủ trì phối hợp với Đường sách TP. HCM, Sở Văn hóa Thể thao, Sở Du lịch, UBND Quận 1… tổ chức nhiều hoạt động kích cầu du lịch, đưa Đường Sách là một trong những điểm đến du lịch lữ hành. Tổ chức nhiều hoạt động quảng bá văn hóa, phong tục Việt Nam và giao lưu văn hóa các nước vì Đường Sách không chỉ phát triển về xuất bản và văn hóa đọc mà còn là không gian văn hóa đặc sắc, đa dạng loại hình hoạt động.</w:t>
            </w:r>
          </w:p>
          <w:p w14:paraId="43EE0408">
            <w:pPr>
              <w:spacing w:line="240" w:lineRule="auto"/>
              <w:ind w:left="1" w:hanging="3"/>
              <w:jc w:val="both"/>
              <w:rPr>
                <w:sz w:val="26"/>
                <w:szCs w:val="26"/>
              </w:rPr>
            </w:pPr>
            <w:r>
              <w:rPr>
                <w:b/>
                <w:sz w:val="26"/>
                <w:szCs w:val="26"/>
              </w:rPr>
              <w:t xml:space="preserve">Đối với nhiệm vụ 2: </w:t>
            </w:r>
            <w:r>
              <w:rPr>
                <w:b/>
                <w:i/>
                <w:sz w:val="26"/>
                <w:szCs w:val="26"/>
              </w:rPr>
              <w:t xml:space="preserve"> Trang bị 5 triệu quyển sách cho cơ sở: </w:t>
            </w:r>
            <w:r>
              <w:rPr>
                <w:bCs/>
                <w:iCs/>
                <w:sz w:val="26"/>
                <w:szCs w:val="26"/>
              </w:rPr>
              <w:t>Sở Thông tin và Truyền thông</w:t>
            </w:r>
            <w:r>
              <w:rPr>
                <w:b/>
                <w:i/>
                <w:sz w:val="26"/>
                <w:szCs w:val="26"/>
              </w:rPr>
              <w:t xml:space="preserve"> </w:t>
            </w:r>
            <w:r>
              <w:rPr>
                <w:sz w:val="26"/>
                <w:szCs w:val="26"/>
              </w:rPr>
              <w:t xml:space="preserve">đã có văn bản gửi các sở, ban, ngành, các tổ chức chính trị trên địa bàn Thành phố tổng hợp các chương trình trao tặng sách. Số lượng sách đã trang bị </w:t>
            </w:r>
            <w:r>
              <w:rPr>
                <w:b/>
                <w:sz w:val="26"/>
                <w:szCs w:val="26"/>
              </w:rPr>
              <w:t>1.410.014</w:t>
            </w:r>
            <w:r>
              <w:rPr>
                <w:sz w:val="26"/>
                <w:szCs w:val="26"/>
              </w:rPr>
              <w:t xml:space="preserve"> quyển sách, bao gồm cả sách giấy và sách điện tử. Số lượng sách sẽ trang bị cho cơ sở (thời gian thực hiện đến tháng 4 năm 2025): 3.590.000 quyển, trong đó sách giấy 590.000 quyển, sách điện tử, sách nói: 3.000.000 quyển.</w:t>
            </w:r>
          </w:p>
          <w:p w14:paraId="1D1D8A1D">
            <w:pPr>
              <w:spacing w:line="240" w:lineRule="auto"/>
              <w:ind w:left="1" w:hanging="3"/>
              <w:jc w:val="both"/>
              <w:rPr>
                <w:sz w:val="26"/>
                <w:szCs w:val="26"/>
              </w:rPr>
            </w:pPr>
            <w:r>
              <w:rPr>
                <w:sz w:val="26"/>
                <w:szCs w:val="26"/>
              </w:rPr>
              <w:t>- Sách giấy: họp các cơ quan chuyên môn thẩm định, lựa chọn danh mục sách (lần 1), dự kiến ngày 27 tháng 9 năm 2024, họp lần 2 để lựa chọn 500 - 600 tựa sách để trang bị.</w:t>
            </w:r>
          </w:p>
          <w:p w14:paraId="114840E5">
            <w:pPr>
              <w:shd w:val="clear" w:color="auto" w:fill="FFFFFF"/>
              <w:spacing w:line="240" w:lineRule="auto"/>
              <w:ind w:left="1" w:hanging="3"/>
              <w:jc w:val="both"/>
              <w:rPr>
                <w:sz w:val="26"/>
                <w:szCs w:val="26"/>
              </w:rPr>
            </w:pPr>
            <w:r>
              <w:rPr>
                <w:sz w:val="26"/>
                <w:szCs w:val="26"/>
              </w:rPr>
              <w:t xml:space="preserve">- Sách điện tử: </w:t>
            </w:r>
            <w:r>
              <w:rPr>
                <w:bCs/>
                <w:iCs/>
                <w:sz w:val="26"/>
                <w:szCs w:val="26"/>
              </w:rPr>
              <w:t>Sở Thông tin và Truyền thông</w:t>
            </w:r>
            <w:r>
              <w:rPr>
                <w:b/>
                <w:i/>
                <w:sz w:val="26"/>
                <w:szCs w:val="26"/>
              </w:rPr>
              <w:t xml:space="preserve"> </w:t>
            </w:r>
            <w:r>
              <w:rPr>
                <w:sz w:val="26"/>
                <w:szCs w:val="26"/>
              </w:rPr>
              <w:t xml:space="preserve">đã làm việc với các đơn vị (WeWe, Fonos, Waka…), xây dựng phương án giá trọn gói trong 1 năm sử dụng (giá từng tựa, số lượt tải, cách thức vận hành) để đảm bảo hiệu quả khi triển khai thực hiện. </w:t>
            </w:r>
          </w:p>
        </w:tc>
        <w:tc>
          <w:tcPr>
            <w:tcW w:w="992" w:type="dxa"/>
            <w:gridSpan w:val="2"/>
            <w:vAlign w:val="center"/>
          </w:tcPr>
          <w:p w14:paraId="1BEE5A2D">
            <w:pPr>
              <w:spacing w:line="240" w:lineRule="auto"/>
              <w:ind w:left="1" w:hanging="3"/>
              <w:jc w:val="center"/>
              <w:rPr>
                <w:sz w:val="26"/>
                <w:szCs w:val="26"/>
              </w:rPr>
            </w:pPr>
          </w:p>
        </w:tc>
      </w:tr>
      <w:tr w14:paraId="01EF5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0206CC1">
            <w:pPr>
              <w:pStyle w:val="139"/>
              <w:numPr>
                <w:ilvl w:val="0"/>
                <w:numId w:val="1"/>
              </w:numPr>
              <w:spacing w:line="240" w:lineRule="auto"/>
              <w:ind w:leftChars="0" w:firstLineChars="0"/>
              <w:jc w:val="both"/>
              <w:rPr>
                <w:sz w:val="26"/>
                <w:szCs w:val="26"/>
              </w:rPr>
            </w:pPr>
          </w:p>
        </w:tc>
        <w:tc>
          <w:tcPr>
            <w:tcW w:w="1834" w:type="dxa"/>
            <w:vAlign w:val="center"/>
          </w:tcPr>
          <w:p w14:paraId="56F91522">
            <w:pPr>
              <w:spacing w:line="240" w:lineRule="auto"/>
              <w:ind w:left="1" w:hanging="3"/>
              <w:jc w:val="both"/>
              <w:rPr>
                <w:sz w:val="26"/>
                <w:szCs w:val="26"/>
              </w:rPr>
            </w:pPr>
            <w:r>
              <w:rPr>
                <w:sz w:val="26"/>
                <w:szCs w:val="26"/>
              </w:rPr>
              <w:t>Công trình “50 thư viện thông minh tặng học sinh Thành phố”</w:t>
            </w:r>
          </w:p>
        </w:tc>
        <w:tc>
          <w:tcPr>
            <w:tcW w:w="2351" w:type="dxa"/>
            <w:vAlign w:val="center"/>
          </w:tcPr>
          <w:p w14:paraId="2CAC9E35">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753E1D75">
            <w:pPr>
              <w:spacing w:line="240" w:lineRule="auto"/>
              <w:ind w:left="1" w:hanging="3"/>
              <w:jc w:val="both"/>
              <w:rPr>
                <w:sz w:val="26"/>
                <w:szCs w:val="26"/>
              </w:rPr>
            </w:pPr>
            <w:r>
              <w:rPr>
                <w:sz w:val="26"/>
                <w:szCs w:val="26"/>
              </w:rPr>
              <w:t>- Đơn vị chủ trì: Sở Thông tin và Truyền thông</w:t>
            </w:r>
          </w:p>
        </w:tc>
        <w:tc>
          <w:tcPr>
            <w:tcW w:w="3178" w:type="dxa"/>
            <w:vAlign w:val="center"/>
          </w:tcPr>
          <w:p w14:paraId="6AFD1946">
            <w:pPr>
              <w:spacing w:line="240" w:lineRule="auto"/>
              <w:ind w:left="1" w:hanging="3"/>
              <w:jc w:val="both"/>
              <w:rPr>
                <w:sz w:val="26"/>
                <w:szCs w:val="26"/>
              </w:rPr>
            </w:pPr>
            <w:r>
              <w:rPr>
                <w:sz w:val="26"/>
                <w:szCs w:val="26"/>
              </w:rPr>
              <w:t>- Trang bị không gian hoạt động, trải nghiệm, gồm các thiết bị công nghệ như: máy tính bàn, Tablet, màn hình LED, sản phẩm công nghệ AI, STEM, công nghệ VR thực tế ảo,..</w:t>
            </w:r>
          </w:p>
          <w:p w14:paraId="0ABF715E">
            <w:pPr>
              <w:spacing w:line="240" w:lineRule="auto"/>
              <w:ind w:left="1" w:hanging="3"/>
              <w:jc w:val="both"/>
              <w:rPr>
                <w:sz w:val="26"/>
                <w:szCs w:val="26"/>
              </w:rPr>
            </w:pPr>
            <w:r>
              <w:rPr>
                <w:sz w:val="26"/>
                <w:szCs w:val="26"/>
              </w:rPr>
              <w:t>- Trang bị các tủ sách (sách giấy, sách điện tử) với các chủ đề, thể loại thuộc chương trình “Trang bị 5 triệu quyển sách” mà Sở Thông tin và Truyền thông đang triển khai thực hiện.</w:t>
            </w:r>
          </w:p>
        </w:tc>
        <w:tc>
          <w:tcPr>
            <w:tcW w:w="1689" w:type="dxa"/>
            <w:vAlign w:val="center"/>
          </w:tcPr>
          <w:p w14:paraId="6D6CDC04">
            <w:pPr>
              <w:spacing w:line="240" w:lineRule="auto"/>
              <w:ind w:left="1" w:hanging="3"/>
              <w:jc w:val="both"/>
              <w:rPr>
                <w:sz w:val="26"/>
                <w:szCs w:val="26"/>
              </w:rPr>
            </w:pPr>
            <w:r>
              <w:rPr>
                <w:sz w:val="26"/>
                <w:szCs w:val="26"/>
              </w:rPr>
              <w:t>Hoàn thành dịp 30/4/2025</w:t>
            </w:r>
          </w:p>
        </w:tc>
        <w:tc>
          <w:tcPr>
            <w:tcW w:w="4961" w:type="dxa"/>
            <w:vAlign w:val="center"/>
          </w:tcPr>
          <w:p w14:paraId="0441807D">
            <w:pPr>
              <w:spacing w:line="240" w:lineRule="auto"/>
              <w:ind w:left="1" w:hanging="3"/>
              <w:jc w:val="both"/>
              <w:rPr>
                <w:sz w:val="26"/>
                <w:szCs w:val="26"/>
              </w:rPr>
            </w:pPr>
            <w:r>
              <w:rPr>
                <w:b/>
                <w:i/>
                <w:sz w:val="26"/>
                <w:szCs w:val="26"/>
              </w:rPr>
              <w:t>Đối tượng thụ hưởng</w:t>
            </w:r>
            <w:r>
              <w:rPr>
                <w:sz w:val="26"/>
                <w:szCs w:val="26"/>
              </w:rPr>
              <w:t>: Học sinh trên địa bàn Thành phố.</w:t>
            </w:r>
          </w:p>
          <w:p w14:paraId="5FEAF8C6">
            <w:pPr>
              <w:spacing w:line="240" w:lineRule="auto"/>
              <w:ind w:left="1" w:hanging="3"/>
              <w:jc w:val="both"/>
              <w:rPr>
                <w:sz w:val="26"/>
                <w:szCs w:val="26"/>
              </w:rPr>
            </w:pPr>
            <w:r>
              <w:rPr>
                <w:b/>
                <w:i/>
                <w:sz w:val="26"/>
                <w:szCs w:val="26"/>
              </w:rPr>
              <w:t>Số lượng:</w:t>
            </w:r>
            <w:r>
              <w:rPr>
                <w:sz w:val="26"/>
                <w:szCs w:val="26"/>
              </w:rPr>
              <w:t xml:space="preserve"> 50 địa điểm, được bố trí cụ thể như sau:</w:t>
            </w:r>
          </w:p>
          <w:p w14:paraId="5456BB11">
            <w:pPr>
              <w:spacing w:line="240" w:lineRule="auto"/>
              <w:ind w:left="1" w:hanging="3"/>
              <w:jc w:val="both"/>
              <w:rPr>
                <w:sz w:val="26"/>
                <w:szCs w:val="26"/>
              </w:rPr>
            </w:pPr>
            <w:r>
              <w:rPr>
                <w:sz w:val="26"/>
                <w:szCs w:val="26"/>
              </w:rPr>
              <w:t>- 16 quận: Mỗi quận bố trí 02 Thư viện thông minh (số lượng: 32)</w:t>
            </w:r>
          </w:p>
          <w:p w14:paraId="1E534DAD">
            <w:pPr>
              <w:spacing w:line="240" w:lineRule="auto"/>
              <w:ind w:left="1" w:hanging="3"/>
              <w:jc w:val="both"/>
              <w:rPr>
                <w:sz w:val="26"/>
                <w:szCs w:val="26"/>
              </w:rPr>
            </w:pPr>
            <w:r>
              <w:rPr>
                <w:sz w:val="26"/>
                <w:szCs w:val="26"/>
              </w:rPr>
              <w:t>- Thành phố Thủ Đức: bố trí 03 Thư viện thông minh (số lượng: 03)</w:t>
            </w:r>
          </w:p>
          <w:p w14:paraId="7CD798CC">
            <w:pPr>
              <w:spacing w:line="240" w:lineRule="auto"/>
              <w:ind w:left="1" w:hanging="3"/>
              <w:jc w:val="both"/>
              <w:rPr>
                <w:sz w:val="26"/>
                <w:szCs w:val="26"/>
              </w:rPr>
            </w:pPr>
            <w:r>
              <w:rPr>
                <w:sz w:val="26"/>
                <w:szCs w:val="26"/>
              </w:rPr>
              <w:t>- 5 huyện: Mỗi huyện bố trí 03 Thư viện thông minh (số lượng: 15)</w:t>
            </w:r>
          </w:p>
          <w:p w14:paraId="760DB7BA">
            <w:pPr>
              <w:spacing w:line="240" w:lineRule="auto"/>
              <w:ind w:left="1" w:hanging="3"/>
              <w:jc w:val="both"/>
              <w:rPr>
                <w:sz w:val="26"/>
                <w:szCs w:val="26"/>
              </w:rPr>
            </w:pPr>
            <w:r>
              <w:rPr>
                <w:sz w:val="26"/>
                <w:szCs w:val="26"/>
              </w:rPr>
              <w:t>ưu tiên bố trí 01 Thư viện thông minh cho xã đảo Thạnh An, huyện Cần Giờ.</w:t>
            </w:r>
          </w:p>
          <w:p w14:paraId="074E50E3">
            <w:pPr>
              <w:spacing w:line="240" w:lineRule="auto"/>
              <w:ind w:left="1" w:hanging="3"/>
              <w:jc w:val="both"/>
              <w:rPr>
                <w:b/>
                <w:sz w:val="26"/>
                <w:szCs w:val="26"/>
              </w:rPr>
            </w:pPr>
            <w:r>
              <w:rPr>
                <w:b/>
                <w:sz w:val="26"/>
                <w:szCs w:val="26"/>
              </w:rPr>
              <w:t>Phương thức thực hiện:</w:t>
            </w:r>
          </w:p>
          <w:p w14:paraId="6281C0BF">
            <w:pPr>
              <w:spacing w:line="240" w:lineRule="auto"/>
              <w:ind w:left="1" w:hanging="3"/>
              <w:jc w:val="both"/>
              <w:rPr>
                <w:sz w:val="26"/>
                <w:szCs w:val="26"/>
              </w:rPr>
            </w:pPr>
            <w:r>
              <w:rPr>
                <w:sz w:val="26"/>
                <w:szCs w:val="26"/>
              </w:rPr>
              <w:t>- Nhằm đảm bảo tiến độ, mục đích và tránh lãng phí, lựa chọn, nâng cấp 50 thư viện số (mô hình thư viện đang triển khai trong hệ thống giáo dục TP) để trang bị sách (giấy, điện tử, sách nói) và danh mục các thiết bị hiện đại chuyên dùng trong dạy và học trong nhà trường.</w:t>
            </w:r>
          </w:p>
          <w:p w14:paraId="26CC46A4">
            <w:pPr>
              <w:spacing w:line="240" w:lineRule="auto"/>
              <w:ind w:left="1" w:hanging="3"/>
              <w:jc w:val="both"/>
              <w:rPr>
                <w:sz w:val="26"/>
                <w:szCs w:val="26"/>
              </w:rPr>
            </w:pPr>
            <w:r>
              <w:rPr>
                <w:sz w:val="26"/>
                <w:szCs w:val="26"/>
              </w:rPr>
              <w:t>- Cụ thể kế hoạch triển khai công trình “50 thư viện thông minh tặng học sinh Thành phố”, Sở Giáo dục và Đào tạo đang xây dựng dự thảo và phối hợp với Sở Thông tin và Truyền thông trước khi trình Ủy ban nhân dân Thành phố.</w:t>
            </w:r>
          </w:p>
        </w:tc>
        <w:tc>
          <w:tcPr>
            <w:tcW w:w="992" w:type="dxa"/>
            <w:gridSpan w:val="2"/>
            <w:vAlign w:val="center"/>
          </w:tcPr>
          <w:p w14:paraId="05BEC099">
            <w:pPr>
              <w:spacing w:line="240" w:lineRule="auto"/>
              <w:ind w:left="1" w:hanging="3"/>
              <w:jc w:val="center"/>
              <w:rPr>
                <w:sz w:val="26"/>
                <w:szCs w:val="26"/>
              </w:rPr>
            </w:pPr>
          </w:p>
        </w:tc>
      </w:tr>
      <w:tr w14:paraId="7D7E2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5609BE07">
            <w:pPr>
              <w:pStyle w:val="139"/>
              <w:numPr>
                <w:ilvl w:val="0"/>
                <w:numId w:val="1"/>
              </w:numPr>
              <w:spacing w:line="240" w:lineRule="auto"/>
              <w:ind w:leftChars="0" w:firstLineChars="0"/>
              <w:jc w:val="both"/>
              <w:rPr>
                <w:sz w:val="26"/>
                <w:szCs w:val="26"/>
              </w:rPr>
            </w:pPr>
          </w:p>
        </w:tc>
        <w:tc>
          <w:tcPr>
            <w:tcW w:w="1834" w:type="dxa"/>
            <w:vAlign w:val="center"/>
          </w:tcPr>
          <w:p w14:paraId="4ECBF41A">
            <w:pPr>
              <w:spacing w:line="240" w:lineRule="auto"/>
              <w:ind w:left="1" w:hanging="3"/>
              <w:jc w:val="both"/>
              <w:rPr>
                <w:sz w:val="26"/>
                <w:szCs w:val="26"/>
              </w:rPr>
            </w:pPr>
            <w:r>
              <w:rPr>
                <w:sz w:val="26"/>
                <w:szCs w:val="26"/>
              </w:rPr>
              <w:t>Chương trình hỗ trợ thiết bị thông tin liên lạc cho các gia đình là hộ nghèo, hộ cận nghèo theo chuẩn đa chiều Thành phố giai đoạn 2021 - 2025</w:t>
            </w:r>
          </w:p>
        </w:tc>
        <w:tc>
          <w:tcPr>
            <w:tcW w:w="2351" w:type="dxa"/>
            <w:vAlign w:val="center"/>
          </w:tcPr>
          <w:p w14:paraId="016066F6">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6A5A92DA">
            <w:pPr>
              <w:spacing w:line="240" w:lineRule="auto"/>
              <w:ind w:left="1" w:hanging="3"/>
              <w:jc w:val="both"/>
              <w:rPr>
                <w:sz w:val="26"/>
                <w:szCs w:val="26"/>
              </w:rPr>
            </w:pPr>
            <w:r>
              <w:rPr>
                <w:sz w:val="26"/>
                <w:szCs w:val="26"/>
              </w:rPr>
              <w:t>- Đơn vị chủ trì: Sở Thông tin và Truyền thông</w:t>
            </w:r>
          </w:p>
        </w:tc>
        <w:tc>
          <w:tcPr>
            <w:tcW w:w="3178" w:type="dxa"/>
            <w:vAlign w:val="center"/>
          </w:tcPr>
          <w:p w14:paraId="2FC0AAD6">
            <w:pPr>
              <w:spacing w:line="240" w:lineRule="auto"/>
              <w:ind w:left="1" w:hanging="3"/>
              <w:jc w:val="both"/>
              <w:rPr>
                <w:sz w:val="26"/>
                <w:szCs w:val="26"/>
              </w:rPr>
            </w:pPr>
            <w:r>
              <w:rPr>
                <w:sz w:val="26"/>
                <w:szCs w:val="26"/>
              </w:rPr>
              <w:t>- Hỗ trợ sử dụng dịch vụ viễn thông phục vụ thông tin liên lạc và truy cập Internet.</w:t>
            </w:r>
          </w:p>
          <w:p w14:paraId="0D66996E">
            <w:pPr>
              <w:spacing w:line="240" w:lineRule="auto"/>
              <w:ind w:left="1" w:hanging="3"/>
              <w:jc w:val="both"/>
              <w:rPr>
                <w:sz w:val="26"/>
                <w:szCs w:val="26"/>
              </w:rPr>
            </w:pPr>
            <w:r>
              <w:rPr>
                <w:sz w:val="26"/>
                <w:szCs w:val="26"/>
              </w:rPr>
              <w:t>- Hỗ trợ trang bị thiết bị thông tin liên lạc phục vụ tiếp cận thông tin (phương tiện dùng chung hoặc phương tiện cá nhân).</w:t>
            </w:r>
          </w:p>
        </w:tc>
        <w:tc>
          <w:tcPr>
            <w:tcW w:w="1689" w:type="dxa"/>
            <w:vAlign w:val="center"/>
          </w:tcPr>
          <w:p w14:paraId="3418C197">
            <w:pPr>
              <w:spacing w:line="240" w:lineRule="auto"/>
              <w:ind w:left="1" w:hanging="3"/>
              <w:jc w:val="both"/>
              <w:rPr>
                <w:sz w:val="26"/>
                <w:szCs w:val="26"/>
              </w:rPr>
            </w:pPr>
            <w:r>
              <w:rPr>
                <w:sz w:val="26"/>
                <w:szCs w:val="26"/>
              </w:rPr>
              <w:t>Hoàn thành dịp 30/4/2025</w:t>
            </w:r>
          </w:p>
        </w:tc>
        <w:tc>
          <w:tcPr>
            <w:tcW w:w="496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34C79346">
            <w:pPr>
              <w:spacing w:line="240" w:lineRule="auto"/>
              <w:ind w:left="1" w:right="20" w:hanging="3"/>
              <w:jc w:val="both"/>
              <w:rPr>
                <w:sz w:val="26"/>
                <w:szCs w:val="26"/>
              </w:rPr>
            </w:pPr>
            <w:r>
              <w:rPr>
                <w:sz w:val="26"/>
                <w:szCs w:val="26"/>
              </w:rPr>
              <w:t>- Ngày 16 tháng 7 năm 2024, Hội đồng nhân dân Thành phố ban hành Nghị quyết số 15/2024/NQ-HĐND về sửa đổi, bổ sung một số điều của Nghị quyết số 13/2020/NQ-HĐND ngày 09/12/2020 về chương trình giảm nghèo bền vững Thành phố Hồ Chí Minh giai đoạn 2021 – 2025. Trong đó, có bổ sung tiêu chí nghèo về thông tin: sử dụng dịch vụ viễn thông và phương tiện phục vụ tiếp cận thông tin.</w:t>
            </w:r>
          </w:p>
          <w:p w14:paraId="6769C0F7">
            <w:pPr>
              <w:spacing w:line="240" w:lineRule="auto"/>
              <w:ind w:left="1" w:right="20" w:hanging="3"/>
              <w:jc w:val="both"/>
              <w:rPr>
                <w:sz w:val="26"/>
                <w:szCs w:val="26"/>
              </w:rPr>
            </w:pPr>
            <w:r>
              <w:rPr>
                <w:sz w:val="26"/>
                <w:szCs w:val="26"/>
              </w:rPr>
              <w:t xml:space="preserve">- Sở Thông tin và Truyền thông đang phối hợp Sở Lao động, Thương binh và Xã hội nghiên cứu, góp ý và xây dựng dự thảo sửa đổi, bổ sung Quyết định số 1291/QĐ-UBND ngày 15 tháng 4 năm 2021 của Ủy ban nhân dân Thành phố về phê duyệt Chương trình Giảm nghèo bền vững Thành phố Hồ Chí Minh giai đoạn 2021 - 2025 trong đó, có bổ sung nội dung về hỗ trợ tiền cho hộ nghèo, hộ cận nghèo trang bị thiết bị thông tin liên lạc và đăng ký sử dụng dịch vụ viễn thông – internet theo đề nghị của Sở Lao động, Thương binh và Xã hội tại công văn số </w:t>
            </w:r>
            <w:r>
              <w:rPr>
                <w:spacing w:val="-12"/>
                <w:sz w:val="26"/>
                <w:szCs w:val="26"/>
              </w:rPr>
              <w:t>21412/SLĐTBXH-VPB ngày 28 tháng 8 năm 2024.</w:t>
            </w:r>
          </w:p>
          <w:p w14:paraId="5F1CAA15">
            <w:pPr>
              <w:spacing w:line="240" w:lineRule="auto"/>
              <w:ind w:left="1" w:hanging="3"/>
              <w:jc w:val="both"/>
              <w:rPr>
                <w:sz w:val="26"/>
                <w:szCs w:val="26"/>
              </w:rPr>
            </w:pPr>
            <w:r>
              <w:rPr>
                <w:sz w:val="26"/>
                <w:szCs w:val="26"/>
              </w:rPr>
              <w:t xml:space="preserve">- Sở Thông tin và Truyền thông phối hợp Sở Lao động, Thương binh và Xã hội, Sở Tài chính và các đơn vị có liên quan dự kiến đề xuất Ủy ban nhân dân Thành phố xem xét bố trí kinh phí cho Ủy ban nhân dân thành phố Thủ Đức và các </w:t>
            </w:r>
            <w:r>
              <w:rPr>
                <w:spacing w:val="-8"/>
                <w:sz w:val="26"/>
                <w:szCs w:val="26"/>
              </w:rPr>
              <w:t>quận, huyện để thực hiện trong tháng 10 năm 2024.</w:t>
            </w:r>
          </w:p>
        </w:tc>
        <w:tc>
          <w:tcPr>
            <w:tcW w:w="992" w:type="dxa"/>
            <w:gridSpan w:val="2"/>
            <w:vAlign w:val="center"/>
          </w:tcPr>
          <w:p w14:paraId="69B5C61C">
            <w:pPr>
              <w:spacing w:line="240" w:lineRule="auto"/>
              <w:ind w:left="1" w:hanging="3"/>
              <w:jc w:val="center"/>
              <w:rPr>
                <w:sz w:val="26"/>
                <w:szCs w:val="26"/>
              </w:rPr>
            </w:pPr>
          </w:p>
        </w:tc>
      </w:tr>
      <w:tr w14:paraId="54859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Pr>
        <w:tc>
          <w:tcPr>
            <w:tcW w:w="855" w:type="dxa"/>
            <w:vAlign w:val="center"/>
          </w:tcPr>
          <w:p w14:paraId="6AF4B150">
            <w:pPr>
              <w:spacing w:line="240" w:lineRule="auto"/>
              <w:ind w:left="0" w:leftChars="0" w:hanging="2" w:firstLineChars="0"/>
              <w:jc w:val="center"/>
              <w:rPr>
                <w:sz w:val="26"/>
                <w:szCs w:val="26"/>
              </w:rPr>
            </w:pPr>
            <w:r>
              <w:rPr>
                <w:b/>
                <w:sz w:val="26"/>
                <w:szCs w:val="26"/>
              </w:rPr>
              <w:t>II</w:t>
            </w:r>
          </w:p>
        </w:tc>
        <w:tc>
          <w:tcPr>
            <w:tcW w:w="14880" w:type="dxa"/>
            <w:gridSpan w:val="6"/>
            <w:vAlign w:val="center"/>
          </w:tcPr>
          <w:p w14:paraId="48432F97">
            <w:pPr>
              <w:spacing w:line="240" w:lineRule="auto"/>
              <w:ind w:left="1" w:hanging="3"/>
              <w:jc w:val="both"/>
              <w:rPr>
                <w:sz w:val="26"/>
                <w:szCs w:val="26"/>
              </w:rPr>
            </w:pPr>
            <w:r>
              <w:rPr>
                <w:b/>
                <w:sz w:val="26"/>
                <w:szCs w:val="26"/>
              </w:rPr>
              <w:t>LĨNH VỰC KINH TẾ</w:t>
            </w:r>
          </w:p>
        </w:tc>
      </w:tr>
      <w:tr w14:paraId="79709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351AF10">
            <w:pPr>
              <w:pStyle w:val="139"/>
              <w:numPr>
                <w:ilvl w:val="0"/>
                <w:numId w:val="1"/>
              </w:numPr>
              <w:spacing w:line="240" w:lineRule="auto"/>
              <w:ind w:leftChars="0" w:firstLineChars="0"/>
              <w:jc w:val="both"/>
              <w:rPr>
                <w:sz w:val="26"/>
                <w:szCs w:val="26"/>
              </w:rPr>
            </w:pPr>
          </w:p>
        </w:tc>
        <w:tc>
          <w:tcPr>
            <w:tcW w:w="1834" w:type="dxa"/>
            <w:vAlign w:val="center"/>
          </w:tcPr>
          <w:p w14:paraId="0FB5B0A3">
            <w:pPr>
              <w:spacing w:line="240" w:lineRule="auto"/>
              <w:ind w:left="1" w:hanging="3"/>
              <w:jc w:val="both"/>
              <w:rPr>
                <w:sz w:val="26"/>
                <w:szCs w:val="26"/>
              </w:rPr>
            </w:pPr>
            <w:r>
              <w:rPr>
                <w:sz w:val="26"/>
                <w:szCs w:val="26"/>
              </w:rPr>
              <w:t xml:space="preserve">Đề án thành lập </w:t>
            </w:r>
            <w:r>
              <w:rPr>
                <w:sz w:val="26"/>
                <w:szCs w:val="26"/>
              </w:rPr>
              <w:br w:type="textWrapping"/>
            </w:r>
            <w:r>
              <w:rPr>
                <w:sz w:val="26"/>
                <w:szCs w:val="26"/>
              </w:rPr>
              <w:t>Trung tâm tài chính quốc tế tại Thành phố Hồ Chí Minh</w:t>
            </w:r>
          </w:p>
        </w:tc>
        <w:tc>
          <w:tcPr>
            <w:tcW w:w="2351" w:type="dxa"/>
            <w:vAlign w:val="center"/>
          </w:tcPr>
          <w:p w14:paraId="48461D0E">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44D572A2">
            <w:pPr>
              <w:spacing w:line="240" w:lineRule="auto"/>
              <w:ind w:left="1" w:hanging="3"/>
              <w:jc w:val="both"/>
              <w:rPr>
                <w:sz w:val="26"/>
                <w:szCs w:val="26"/>
              </w:rPr>
            </w:pPr>
            <w:r>
              <w:rPr>
                <w:sz w:val="26"/>
                <w:szCs w:val="26"/>
              </w:rPr>
              <w:t xml:space="preserve">- Đơn vị thực hiện: Công ty Đầu tư </w:t>
            </w:r>
            <w:r>
              <w:rPr>
                <w:sz w:val="26"/>
                <w:szCs w:val="26"/>
              </w:rPr>
              <w:br w:type="textWrapping"/>
            </w:r>
            <w:r>
              <w:rPr>
                <w:sz w:val="26"/>
                <w:szCs w:val="26"/>
              </w:rPr>
              <w:t>Tài chính Nhà nước Thành phố (HFIC)</w:t>
            </w:r>
          </w:p>
        </w:tc>
        <w:tc>
          <w:tcPr>
            <w:tcW w:w="3178" w:type="dxa"/>
            <w:vAlign w:val="center"/>
          </w:tcPr>
          <w:p w14:paraId="4B9B94CE">
            <w:pPr>
              <w:spacing w:line="240" w:lineRule="auto"/>
              <w:ind w:left="1" w:hanging="3"/>
              <w:jc w:val="both"/>
              <w:rPr>
                <w:sz w:val="26"/>
                <w:szCs w:val="26"/>
              </w:rPr>
            </w:pPr>
            <w:r>
              <w:rPr>
                <w:sz w:val="26"/>
                <w:szCs w:val="26"/>
              </w:rPr>
              <w:t>Đề án bao gồm các đề xuất về mô hình Trung tâm tài chính (TTTC) quốc tế Việt Nam tại Thành phố Hồ Chí Minh, chương trình hành động tương ứng cùng với các kiến nghị về cơ chế - chính sách đặc thù để xây dựng Trung tâm tài chính quốc tế Việt Nam.</w:t>
            </w:r>
          </w:p>
        </w:tc>
        <w:tc>
          <w:tcPr>
            <w:tcW w:w="1689" w:type="dxa"/>
            <w:vAlign w:val="center"/>
          </w:tcPr>
          <w:p w14:paraId="2AA88884">
            <w:pPr>
              <w:spacing w:line="240" w:lineRule="auto"/>
              <w:ind w:left="1" w:hanging="3"/>
              <w:jc w:val="both"/>
              <w:rPr>
                <w:sz w:val="26"/>
                <w:szCs w:val="26"/>
              </w:rPr>
            </w:pPr>
            <w:r>
              <w:rPr>
                <w:sz w:val="26"/>
                <w:szCs w:val="26"/>
              </w:rPr>
              <w:t>Khởi công dịp 30/4/2025</w:t>
            </w:r>
          </w:p>
        </w:tc>
        <w:tc>
          <w:tcPr>
            <w:tcW w:w="4961" w:type="dxa"/>
            <w:vAlign w:val="center"/>
          </w:tcPr>
          <w:p w14:paraId="1E89F617">
            <w:pPr>
              <w:spacing w:line="240" w:lineRule="auto"/>
              <w:ind w:left="1" w:hanging="3"/>
              <w:jc w:val="both"/>
              <w:rPr>
                <w:sz w:val="26"/>
                <w:szCs w:val="26"/>
              </w:rPr>
            </w:pPr>
            <w:r>
              <w:rPr>
                <w:sz w:val="26"/>
                <w:szCs w:val="26"/>
              </w:rPr>
              <w:t xml:space="preserve">Ngày 30 tháng 8 năm 2024, đơn vị đã có Công văn số 1523/ĐTTC-KHNCPT tham mưu Ủy ban nhân dân Thành phố các nội dung để đăng ký làm việc trực tiếp với các Bộ ngành theo từng nội dung lĩnh vực phụ trách để tiếp tục hoàn thiện Đề án của Thành phố. Theo đó, ngày 06 tháng 9 năm 2024, Ủy ban nhân dân Thành phố đã có các Công văn gửi các Bộ, ngành: Ngân hàng nhà nước Việt Nam, Bộ Tài chính, Bộ Tư pháp và Bộ Công thương để đăng ký lịch làm việc trực tiếp theo từng nội dung lĩnh vực phụ trách của Bộ, ngành. </w:t>
            </w:r>
          </w:p>
          <w:p w14:paraId="2DB2846F">
            <w:pPr>
              <w:spacing w:line="240" w:lineRule="auto"/>
              <w:ind w:left="1" w:hanging="3"/>
              <w:jc w:val="both"/>
              <w:rPr>
                <w:sz w:val="26"/>
                <w:szCs w:val="26"/>
              </w:rPr>
            </w:pPr>
            <w:r>
              <w:rPr>
                <w:sz w:val="26"/>
                <w:szCs w:val="26"/>
              </w:rPr>
              <w:tab/>
            </w:r>
            <w:r>
              <w:rPr>
                <w:sz w:val="26"/>
                <w:szCs w:val="26"/>
              </w:rPr>
              <w:t>Trong thời gian tới, sẽ tiếp tục phối hợp các đơn vị liên quan, tham mưu hoàn thiện Đề án theo ý kiến của Bộ, ngành trình Ủy ban nhân dân Thành phố báo cáo Bộ Kế hoạch và Đầu tư tổng hợp trình cấp có thẩm quyền theo yêu cầu.</w:t>
            </w:r>
          </w:p>
        </w:tc>
        <w:tc>
          <w:tcPr>
            <w:tcW w:w="992" w:type="dxa"/>
            <w:gridSpan w:val="2"/>
            <w:vAlign w:val="center"/>
          </w:tcPr>
          <w:p w14:paraId="348F5304">
            <w:pPr>
              <w:spacing w:line="240" w:lineRule="auto"/>
              <w:ind w:left="1" w:hanging="3"/>
              <w:jc w:val="center"/>
              <w:rPr>
                <w:sz w:val="26"/>
                <w:szCs w:val="26"/>
              </w:rPr>
            </w:pPr>
          </w:p>
        </w:tc>
      </w:tr>
      <w:tr w14:paraId="5119F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099B861">
            <w:pPr>
              <w:pStyle w:val="139"/>
              <w:numPr>
                <w:ilvl w:val="0"/>
                <w:numId w:val="1"/>
              </w:numPr>
              <w:spacing w:line="240" w:lineRule="auto"/>
              <w:ind w:leftChars="0" w:firstLineChars="0"/>
              <w:jc w:val="both"/>
              <w:rPr>
                <w:sz w:val="26"/>
                <w:szCs w:val="26"/>
              </w:rPr>
            </w:pPr>
          </w:p>
        </w:tc>
        <w:tc>
          <w:tcPr>
            <w:tcW w:w="1834" w:type="dxa"/>
            <w:vAlign w:val="center"/>
          </w:tcPr>
          <w:p w14:paraId="54435D8B">
            <w:pPr>
              <w:spacing w:line="240" w:lineRule="auto"/>
              <w:ind w:left="1" w:hanging="3"/>
              <w:jc w:val="both"/>
              <w:rPr>
                <w:sz w:val="26"/>
                <w:szCs w:val="26"/>
              </w:rPr>
            </w:pPr>
            <w:r>
              <w:rPr>
                <w:sz w:val="26"/>
                <w:szCs w:val="26"/>
              </w:rPr>
              <w:t>Chương trình Phát triển du lịch Thành phố Hồ Chí Minh kết hợp Bản đồ du lịch tương tác thông minh 3D/360 kết nối các điểm tham quan du lịch của 63 tỉnh thành bằng 05 ngôn ngữ (Việt, Anh, Pháp, Hoa, Tây Ban Nha)</w:t>
            </w:r>
          </w:p>
        </w:tc>
        <w:tc>
          <w:tcPr>
            <w:tcW w:w="2351" w:type="dxa"/>
            <w:vAlign w:val="center"/>
          </w:tcPr>
          <w:p w14:paraId="37688486">
            <w:pPr>
              <w:spacing w:line="240" w:lineRule="auto"/>
              <w:ind w:left="1" w:hanging="3"/>
              <w:jc w:val="both"/>
              <w:rPr>
                <w:sz w:val="26"/>
                <w:szCs w:val="26"/>
              </w:rPr>
            </w:pPr>
            <w:r>
              <w:rPr>
                <w:sz w:val="26"/>
                <w:szCs w:val="26"/>
              </w:rPr>
              <w:t>- Thường trực UBND Thành phố phụ trách: Đ/c Trần Thị Diệu Thúy, Phó Chủ tịch Ủy ban nhân dân Thành phố</w:t>
            </w:r>
          </w:p>
          <w:p w14:paraId="3FB0D927">
            <w:pPr>
              <w:spacing w:line="240" w:lineRule="auto"/>
              <w:ind w:left="1" w:hanging="3"/>
              <w:jc w:val="both"/>
              <w:rPr>
                <w:sz w:val="26"/>
                <w:szCs w:val="26"/>
              </w:rPr>
            </w:pPr>
            <w:r>
              <w:rPr>
                <w:sz w:val="26"/>
                <w:szCs w:val="26"/>
              </w:rPr>
              <w:t>- Đơn vị chủ trì: Sở Du lịch phối hợp Sở Thông tin và Truyền thông, Sở Văn hóa và Thể thao</w:t>
            </w:r>
          </w:p>
        </w:tc>
        <w:tc>
          <w:tcPr>
            <w:tcW w:w="3178" w:type="dxa"/>
            <w:vAlign w:val="center"/>
          </w:tcPr>
          <w:p w14:paraId="7E878A27">
            <w:pPr>
              <w:spacing w:line="240" w:lineRule="auto"/>
              <w:ind w:left="1" w:hanging="3"/>
              <w:jc w:val="both"/>
              <w:rPr>
                <w:sz w:val="26"/>
                <w:szCs w:val="26"/>
              </w:rPr>
            </w:pPr>
            <w:r>
              <w:rPr>
                <w:sz w:val="26"/>
                <w:szCs w:val="26"/>
              </w:rPr>
              <w:t>Triển khai thực hiện giai đoạn 1 (2023 - 2025) của Chiến lược phát triển du lịch Thành phố Hồ Chí Minh đến năm 2030; Chương trình khuyến khích và huy động nguồn lực phát triển du lịch Thành phố Hồ Chí Minh; Chương trình xây dựng thương hiệu du lịch Thành phố Hồ Chí Minh; Chương trình xây dựng và quản lý tiêu chuẩn du lịch Thành phố Hồ Chí Minh đáp ứng yêu cầu hội nhập quốc tế; Ứng dụng mô hình thực tế ảo mô tả các điểm tham quan nổi tiếng của Thành phố Hồ Chí Minh và 62 tỉnh thành phục vụ yêu cầu quảng bá du lịch, phát huy vai trò trung tâm du lịch của Thành phố trong phát triển liên kết vùng.</w:t>
            </w:r>
          </w:p>
        </w:tc>
        <w:tc>
          <w:tcPr>
            <w:tcW w:w="1689" w:type="dxa"/>
            <w:vAlign w:val="center"/>
          </w:tcPr>
          <w:p w14:paraId="30CBE3F8">
            <w:pPr>
              <w:spacing w:line="240" w:lineRule="auto"/>
              <w:ind w:left="1" w:hanging="3"/>
              <w:jc w:val="both"/>
              <w:rPr>
                <w:sz w:val="26"/>
                <w:szCs w:val="26"/>
              </w:rPr>
            </w:pPr>
            <w:r>
              <w:rPr>
                <w:sz w:val="26"/>
                <w:szCs w:val="26"/>
              </w:rPr>
              <w:t>Hoàn thành dịp 30/4/2025</w:t>
            </w:r>
          </w:p>
        </w:tc>
        <w:tc>
          <w:tcPr>
            <w:tcW w:w="4961" w:type="dxa"/>
            <w:vAlign w:val="center"/>
          </w:tcPr>
          <w:p w14:paraId="18F566DB">
            <w:pPr>
              <w:spacing w:line="240" w:lineRule="auto"/>
              <w:ind w:left="1" w:hanging="3"/>
              <w:jc w:val="both"/>
              <w:rPr>
                <w:sz w:val="26"/>
                <w:szCs w:val="26"/>
              </w:rPr>
            </w:pPr>
            <w:r>
              <w:rPr>
                <w:sz w:val="26"/>
                <w:szCs w:val="26"/>
              </w:rPr>
              <w:t>1. Triển khai thực hiện giai đoạn 1 (2023-2025) của Chiến lược phát triển du lịch Thành phố Hồ Chí Minh đến năm 2030: Ngày 08 tháng 7 năm 2024, Sở Du lịch đã có Tờ trình Số 1658/TTr-SDL trình Ủy ban nhân dân Thành phố xem xét, trình Ban cán sự đảng Ủy ban nhân dân Thành phố phê duyệt Chiến lược phát triển du lịch Thành phố Hồ Chí Minh đến năm 2030. Ủy ban nhân dân Thành phố đã có chỉ đạo đề nghị Sở Du lịch phối hợp với đơn vị tư vấn Chiến lược rà soát toàn bộ nội dung và quy trình, điều chỉnh và bổ sung đầy đủ hồ sơ ban hành Chiến lược phát triển du lịch Thành phố Hồ Chí Minh đến năm 2030 để trình Ủy ban nhân dân Thành phố theo quy định. Sở Du lịch đang triển khai xây dựng Đề án phát triển du lịch Huyện Cần Giờ đến năm 2030.</w:t>
            </w:r>
          </w:p>
          <w:p w14:paraId="19779728">
            <w:pPr>
              <w:spacing w:line="240" w:lineRule="auto"/>
              <w:ind w:left="1" w:hanging="3"/>
              <w:jc w:val="both"/>
              <w:rPr>
                <w:sz w:val="26"/>
                <w:szCs w:val="26"/>
              </w:rPr>
            </w:pPr>
            <w:r>
              <w:rPr>
                <w:sz w:val="26"/>
                <w:szCs w:val="26"/>
              </w:rPr>
              <w:t xml:space="preserve">2. Chương trình khuyến khích và huy động nguồn lực phát triển du lịch Thành phố Hồ Chí Minh: Sở Du lịch đã tiến hành lấy ý kiến các Sở, ngành, thành phố Thủ Đức và 21 quận, huyện, tham mưu Ủy ban nhân dân Thành phố ban hành Kế hoạch triển khai thực hiện Nghị quyết số 82/NQ-CP ngày 18 tháng 5 năm 2023 với 09 nhóm nhiệm vụ giải pháp cụ thể; đồng thời đang nghiên cứu Nghị quyết 98 của Quốc hội về thí điểm cơ chế, chính sách đặc thù phát triển Thành phố Hồ Chí Minh để tham mưu giải pháp khuyến khích, huy động nguồn lực phát triển du lịch Thành phố Hồ Chí Minh.    </w:t>
            </w:r>
          </w:p>
          <w:p w14:paraId="1BEEAAD5">
            <w:pPr>
              <w:spacing w:line="240" w:lineRule="auto"/>
              <w:ind w:left="1" w:hanging="3"/>
              <w:jc w:val="both"/>
              <w:rPr>
                <w:sz w:val="26"/>
                <w:szCs w:val="26"/>
              </w:rPr>
            </w:pPr>
            <w:r>
              <w:rPr>
                <w:sz w:val="26"/>
                <w:szCs w:val="26"/>
              </w:rPr>
              <w:t xml:space="preserve">3. Chương trình xây dựng Thương hiệu du lịch Thành phố Hồ Chí Minh: Sở Du lịch đã xây dựng Kế hoạch đẩy mạnh công tác truyền thông, quảng bá thương hiệu du lịch “Thành phố Hồ Chí Minh Chào đón bạn” và “Thành phố Hồ Chí Minh - Sống động từng trải nghiệm” năm 2024. Hiện nay, Sở Du lịch đang phối hợp với đơn vị tư vấn xây dựng đề cương Đề án nghiên cứu, đánh giá thương hiệu du lịch Thành phố Hồ Chí Minh.         </w:t>
            </w:r>
          </w:p>
          <w:p w14:paraId="2E1C63EE">
            <w:pPr>
              <w:spacing w:line="240" w:lineRule="auto"/>
              <w:ind w:left="1" w:hanging="3"/>
              <w:jc w:val="both"/>
              <w:rPr>
                <w:sz w:val="26"/>
                <w:szCs w:val="26"/>
              </w:rPr>
            </w:pPr>
            <w:r>
              <w:rPr>
                <w:sz w:val="26"/>
                <w:szCs w:val="26"/>
              </w:rPr>
              <w:t xml:space="preserve"> 4. Chương trình xây dựng và quản lý tiêu chuẩn du lịch Thành phố Hồ Chí Minh đáp ứng yêu cầu hội nhập quốc tế: Qua nghiên cứu và tiếp thu ý kiến góp ý của các cơ quan, đơn vị, Sở Du lịch đã xây dựng và hoàn chỉnh Bộ tiêu chí đánh giá dịch vụ ẩm thực áp dụng tại Thành phố Hồ Chí Minh; đồng thời, Sở Du lịch đã thực hiện khảo sát ý kiến theo hình thức lấy phiếu khảo sát của các đối tượng.</w:t>
            </w:r>
          </w:p>
          <w:p w14:paraId="12325DEE">
            <w:pPr>
              <w:spacing w:line="240" w:lineRule="auto"/>
              <w:ind w:left="1" w:hanging="3"/>
              <w:jc w:val="both"/>
              <w:rPr>
                <w:sz w:val="26"/>
                <w:szCs w:val="26"/>
              </w:rPr>
            </w:pPr>
            <w:r>
              <w:rPr>
                <w:sz w:val="26"/>
                <w:szCs w:val="26"/>
              </w:rPr>
              <w:t>Chương trình “Mỗi đơn vị kinh doanh dịch vụ du lịch là một điểm đến thân thiện”: Sở Du lịch đã triển khai lấy ý kiến dự thảo Kế hoạch phát động chương trình mỗi đơn vị kinh doanh dịch vụ du lịch là một điểm đến thân thiện phục vụ người dân và du khách trên địa bàn Thành phố Hồ Chí Minh. Tính đến nay, Sở Du lịch đã nhận được 26 ý kiến góp ý của các đơn vị. Theo đó, Sở Du lịch đã tiếp thu và hoàn thiện dự thảo Kế hoạch chương trình, đang chờ Ủy ban nhân dân Thành phố phê duyệt chủ trương Kế hoạch xúc tiến du lịch năm 2024, sẽ làm cơ sở ban hành Kế hoạch chương trình mỗi đơn vị kinh doanh dịch vụ du lịch là một điểm đến thân thiện.</w:t>
            </w:r>
          </w:p>
          <w:p w14:paraId="314A3D57">
            <w:pPr>
              <w:spacing w:line="240" w:lineRule="auto"/>
              <w:ind w:left="1" w:hanging="3"/>
              <w:jc w:val="both"/>
              <w:rPr>
                <w:sz w:val="26"/>
                <w:szCs w:val="26"/>
              </w:rPr>
            </w:pPr>
            <w:r>
              <w:rPr>
                <w:sz w:val="26"/>
                <w:szCs w:val="26"/>
              </w:rPr>
              <w:t>5. Ứng dụng mô hình thực tế ảo mô tả các điểm tham quan nổi tiếng của Thành phố Hồ Chí Minh và 62 tỉnh thành phục vụ yêu cầu quảng bá du lịch, phát huy vai trò trung tâm du lịch của Thành phố trong phát triển liên kết vùng: Sở Du lịch đã nhận được văn bản của 62 tỉnh thành, Sở Thông tin và Truyền thông, Sở Tài chính về việc góp ý dự thảo Kế hoạch. Ủy ban nhân dân Thành phố đã ban hành Công văn số 2642/UBND-KT ngày 14 tháng 5 năm 2024 về chủ trương triển khai thực hiện hạng mục, hoạt động ứng dụng công nghệ thông tin và các nhiệm vụ thuộc lĩnh vực quản lý Nhà nước năm 2024, trong đó giao Sở Thông tin và Truyền thông tổng hợp ý kiến của Sở Tài chính và Sở Kế hoạch và Đầu tư đối với các đề xuất, kiến nghị của Sở Thông tin và Truyền thông. Sở Du lịch đang tiếp tục phối hợp với Sở Thông tin và Truyền thông để nắm thông tin về tiến độ trình xin chủ trương triển khai Kế hoạch.</w:t>
            </w:r>
          </w:p>
        </w:tc>
        <w:tc>
          <w:tcPr>
            <w:tcW w:w="992" w:type="dxa"/>
            <w:gridSpan w:val="2"/>
            <w:vAlign w:val="center"/>
          </w:tcPr>
          <w:p w14:paraId="08201032">
            <w:pPr>
              <w:spacing w:line="240" w:lineRule="auto"/>
              <w:ind w:left="1" w:hanging="3"/>
              <w:jc w:val="center"/>
              <w:rPr>
                <w:sz w:val="26"/>
                <w:szCs w:val="26"/>
              </w:rPr>
            </w:pPr>
          </w:p>
        </w:tc>
      </w:tr>
      <w:tr w14:paraId="2D72C2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CFD2AEA">
            <w:pPr>
              <w:pStyle w:val="139"/>
              <w:numPr>
                <w:ilvl w:val="0"/>
                <w:numId w:val="1"/>
              </w:numPr>
              <w:spacing w:line="240" w:lineRule="auto"/>
              <w:ind w:leftChars="0" w:firstLineChars="0"/>
              <w:jc w:val="both"/>
              <w:rPr>
                <w:sz w:val="26"/>
                <w:szCs w:val="26"/>
              </w:rPr>
            </w:pPr>
          </w:p>
        </w:tc>
        <w:tc>
          <w:tcPr>
            <w:tcW w:w="1834" w:type="dxa"/>
            <w:vAlign w:val="center"/>
          </w:tcPr>
          <w:p w14:paraId="476433F7">
            <w:pPr>
              <w:spacing w:line="240" w:lineRule="auto"/>
              <w:ind w:left="1" w:hanging="3"/>
              <w:jc w:val="both"/>
              <w:rPr>
                <w:sz w:val="26"/>
                <w:szCs w:val="26"/>
              </w:rPr>
            </w:pPr>
            <w:r>
              <w:rPr>
                <w:sz w:val="26"/>
                <w:szCs w:val="26"/>
              </w:rPr>
              <w:t>Đề án huy động nguồn lực xã hội để đầu tư phát triển hạ tầng trên địa bàn Thành phố Hồ Chí Minh giai đoạn 2023 - 2030</w:t>
            </w:r>
          </w:p>
          <w:p w14:paraId="6A2A665E">
            <w:pPr>
              <w:spacing w:line="240" w:lineRule="auto"/>
              <w:ind w:left="1" w:hanging="3"/>
              <w:jc w:val="both"/>
              <w:rPr>
                <w:sz w:val="26"/>
                <w:szCs w:val="26"/>
              </w:rPr>
            </w:pPr>
          </w:p>
        </w:tc>
        <w:tc>
          <w:tcPr>
            <w:tcW w:w="2351" w:type="dxa"/>
            <w:vAlign w:val="center"/>
          </w:tcPr>
          <w:p w14:paraId="77A6039B">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36E53AE2">
            <w:pPr>
              <w:spacing w:line="240" w:lineRule="auto"/>
              <w:ind w:left="1" w:hanging="3"/>
              <w:jc w:val="both"/>
              <w:rPr>
                <w:sz w:val="26"/>
                <w:szCs w:val="26"/>
              </w:rPr>
            </w:pPr>
            <w:r>
              <w:rPr>
                <w:sz w:val="26"/>
                <w:szCs w:val="26"/>
              </w:rPr>
              <w:t>- Đơn vị thực hiện: Sở Kế hoạch - Đầu tư</w:t>
            </w:r>
          </w:p>
        </w:tc>
        <w:tc>
          <w:tcPr>
            <w:tcW w:w="3178" w:type="dxa"/>
            <w:vAlign w:val="center"/>
          </w:tcPr>
          <w:p w14:paraId="1310C765">
            <w:pPr>
              <w:spacing w:line="240" w:lineRule="auto"/>
              <w:ind w:left="1" w:hanging="3"/>
              <w:jc w:val="both"/>
              <w:rPr>
                <w:sz w:val="26"/>
                <w:szCs w:val="26"/>
              </w:rPr>
            </w:pPr>
            <w:r>
              <w:rPr>
                <w:sz w:val="26"/>
                <w:szCs w:val="26"/>
              </w:rPr>
              <w:t>Giai đoạn 2021 - 2025, nhu cầu vốn đầu tư công của Thành phố rất lớn (khoảng 672.000 tỷ đồng); trong khi đó, nguồn cân đối ngân sách địa phương giai đoạn 2021 - 2025 của Thành phố được Thủ tướng Chính phủ giao là 142.557 tỷ đồng, chỉ đáp ứng khoảng 21% tổng nhu cầu vốn của Thành phố nên việc đặt ra giải pháp là rất cần thiết.</w:t>
            </w:r>
          </w:p>
        </w:tc>
        <w:tc>
          <w:tcPr>
            <w:tcW w:w="1689" w:type="dxa"/>
            <w:vAlign w:val="center"/>
          </w:tcPr>
          <w:p w14:paraId="05BE38A0">
            <w:pPr>
              <w:spacing w:line="240" w:lineRule="auto"/>
              <w:ind w:left="1" w:hanging="3"/>
              <w:jc w:val="both"/>
              <w:rPr>
                <w:sz w:val="26"/>
                <w:szCs w:val="26"/>
              </w:rPr>
            </w:pPr>
            <w:r>
              <w:rPr>
                <w:sz w:val="26"/>
                <w:szCs w:val="26"/>
              </w:rPr>
              <w:t>Hoàn thành dịp 30/4/2025</w:t>
            </w:r>
          </w:p>
        </w:tc>
        <w:tc>
          <w:tcPr>
            <w:tcW w:w="4961" w:type="dxa"/>
            <w:vAlign w:val="center"/>
          </w:tcPr>
          <w:p w14:paraId="6D8EF7D0">
            <w:pPr>
              <w:spacing w:line="240" w:lineRule="auto"/>
              <w:ind w:left="1" w:hanging="3"/>
              <w:jc w:val="both"/>
              <w:rPr>
                <w:b/>
                <w:i/>
                <w:sz w:val="26"/>
                <w:szCs w:val="26"/>
              </w:rPr>
            </w:pPr>
            <w:r>
              <w:rPr>
                <w:sz w:val="26"/>
                <w:szCs w:val="26"/>
              </w:rPr>
              <w:t xml:space="preserve">Thực hiện Công văn số </w:t>
            </w:r>
            <w:r>
              <w:rPr>
                <w:sz w:val="26"/>
                <w:szCs w:val="26"/>
                <w:highlight w:val="white"/>
              </w:rPr>
              <w:t>4885/UBND-DA</w:t>
            </w:r>
            <w:r>
              <w:rPr>
                <w:sz w:val="26"/>
                <w:szCs w:val="26"/>
              </w:rPr>
              <w:t xml:space="preserve"> ngày 26 tháng 8 năm 2024 của Ủy ban nhân dân Thành phố về Đề án huy động nguồn lực xã hội để đầu tư phát triển hạ tầng trên địa bàn Thành phố Hồ Chí Minh giai đoạn 2024 - 2030; trong đó, có nội dung  “</w:t>
            </w:r>
            <w:r>
              <w:rPr>
                <w:i/>
                <w:sz w:val="26"/>
                <w:szCs w:val="26"/>
              </w:rPr>
              <w:t xml:space="preserve">Giao Sở Kế hoạch và Đầu tư tiếp thu ý kiến chỉ đạo của Ban Thường vụ Thành ủy tại Kết luận số 1034-KL/TU ngày 06 tháng 8 năm 2024 nêu trên; khẩn trương chủ trì, phối hợp với các Sở ngành, đơn vị có liên quan tiếp tục rà soát, bổ sung, hoàn thiện, tham mưu, đề xuất Ủy ban nhân dân Thành phố ban hành và triển khai thực hiện Đề án theo đúng quy định; hoàn thành </w:t>
            </w:r>
            <w:r>
              <w:rPr>
                <w:b/>
                <w:i/>
                <w:sz w:val="26"/>
                <w:szCs w:val="26"/>
              </w:rPr>
              <w:t>trước ngày 15 tháng 9 năm 2024.</w:t>
            </w:r>
          </w:p>
          <w:p w14:paraId="20C5CE6A">
            <w:pPr>
              <w:spacing w:line="240" w:lineRule="auto"/>
              <w:ind w:left="1" w:hanging="3"/>
              <w:jc w:val="both"/>
              <w:rPr>
                <w:sz w:val="26"/>
                <w:szCs w:val="26"/>
              </w:rPr>
            </w:pPr>
            <w:r>
              <w:rPr>
                <w:sz w:val="26"/>
                <w:szCs w:val="26"/>
              </w:rPr>
              <w:t>Ngày 29 tháng 8 năm 2024, Sở Kế hoạch và Đầu tư có Công văn số 11752/SKHĐT-DNKTTT&amp;TN gửi các sở ngành để góp ý hoàn thiện Đề án, đến nay, Sở Kế hoạch và Đầu tư đã nhận được 12/21 văn bản góp ý, đang tổng hợp, dự kiến trình UBND TP phê duyệt trong tháng 10 năm 2024.</w:t>
            </w:r>
          </w:p>
        </w:tc>
        <w:tc>
          <w:tcPr>
            <w:tcW w:w="992" w:type="dxa"/>
            <w:gridSpan w:val="2"/>
            <w:vAlign w:val="center"/>
          </w:tcPr>
          <w:p w14:paraId="5F8C890E">
            <w:pPr>
              <w:spacing w:line="240" w:lineRule="auto"/>
              <w:ind w:left="1" w:hanging="3"/>
              <w:jc w:val="center"/>
              <w:rPr>
                <w:sz w:val="26"/>
                <w:szCs w:val="26"/>
              </w:rPr>
            </w:pPr>
          </w:p>
        </w:tc>
      </w:tr>
      <w:tr w14:paraId="31186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68ADF50">
            <w:pPr>
              <w:pStyle w:val="139"/>
              <w:numPr>
                <w:ilvl w:val="0"/>
                <w:numId w:val="1"/>
              </w:numPr>
              <w:spacing w:line="240" w:lineRule="auto"/>
              <w:ind w:leftChars="0" w:firstLineChars="0"/>
              <w:jc w:val="both"/>
              <w:rPr>
                <w:sz w:val="26"/>
                <w:szCs w:val="26"/>
              </w:rPr>
            </w:pPr>
          </w:p>
        </w:tc>
        <w:tc>
          <w:tcPr>
            <w:tcW w:w="1834" w:type="dxa"/>
            <w:vAlign w:val="center"/>
          </w:tcPr>
          <w:p w14:paraId="38A5C632">
            <w:pPr>
              <w:spacing w:line="240" w:lineRule="auto"/>
              <w:ind w:left="1" w:hanging="3"/>
              <w:jc w:val="both"/>
              <w:rPr>
                <w:sz w:val="26"/>
                <w:szCs w:val="26"/>
              </w:rPr>
            </w:pPr>
            <w:r>
              <w:rPr>
                <w:sz w:val="26"/>
                <w:szCs w:val="26"/>
              </w:rPr>
              <w:t>Đề án nâng cao hiệu quả thu hút vốn đầu tư nước ngoài (FDI) trên địa bàn Thành phố Hồ Chí Minh giai đoạn 2023 - 2025, tầm nhìn 2030</w:t>
            </w:r>
          </w:p>
        </w:tc>
        <w:tc>
          <w:tcPr>
            <w:tcW w:w="2351" w:type="dxa"/>
            <w:vAlign w:val="center"/>
          </w:tcPr>
          <w:p w14:paraId="4AB1469A">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0DEE6501">
            <w:pPr>
              <w:spacing w:line="240" w:lineRule="auto"/>
              <w:ind w:left="1" w:hanging="3"/>
              <w:jc w:val="both"/>
              <w:rPr>
                <w:sz w:val="26"/>
                <w:szCs w:val="26"/>
              </w:rPr>
            </w:pPr>
            <w:r>
              <w:rPr>
                <w:sz w:val="26"/>
                <w:szCs w:val="26"/>
              </w:rPr>
              <w:t>- Đơn vị thực hiện: Sở Kế hoạch - Đầu tư</w:t>
            </w:r>
          </w:p>
        </w:tc>
        <w:tc>
          <w:tcPr>
            <w:tcW w:w="3178" w:type="dxa"/>
            <w:vAlign w:val="center"/>
          </w:tcPr>
          <w:p w14:paraId="0DA58FCA">
            <w:pPr>
              <w:spacing w:line="240" w:lineRule="auto"/>
              <w:ind w:left="1" w:hanging="3"/>
              <w:jc w:val="both"/>
              <w:rPr>
                <w:sz w:val="26"/>
                <w:szCs w:val="26"/>
              </w:rPr>
            </w:pPr>
            <w:r>
              <w:rPr>
                <w:sz w:val="26"/>
                <w:szCs w:val="26"/>
              </w:rPr>
              <w:t>Giai đoạn 2021 - 2025, nhu cầu vốn đầu tư công của Thành phố rất lớn (khoảng 672.000 tỷ đồng); trong khi đó, nguồn cân đối ngân sách địa phương giai đoạn 2021 - 2025 của Thành phố được Thủ tướng Chính phủ giao là 142.557 tỷ đồng, chỉ đáp ứng khoảng 21% tổng nhu cầu vốn của Thành phố nên việc đặt ra giải pháp là rất cần thiết.</w:t>
            </w:r>
          </w:p>
        </w:tc>
        <w:tc>
          <w:tcPr>
            <w:tcW w:w="1689" w:type="dxa"/>
            <w:vAlign w:val="center"/>
          </w:tcPr>
          <w:p w14:paraId="2389E33E">
            <w:pPr>
              <w:spacing w:line="240" w:lineRule="auto"/>
              <w:ind w:left="1" w:hanging="3"/>
              <w:jc w:val="both"/>
              <w:rPr>
                <w:sz w:val="26"/>
                <w:szCs w:val="26"/>
              </w:rPr>
            </w:pPr>
            <w:r>
              <w:rPr>
                <w:sz w:val="26"/>
                <w:szCs w:val="26"/>
              </w:rPr>
              <w:t>Hoàn thành dịp 30/4/2025</w:t>
            </w:r>
          </w:p>
        </w:tc>
        <w:tc>
          <w:tcPr>
            <w:tcW w:w="4961" w:type="dxa"/>
            <w:vAlign w:val="center"/>
          </w:tcPr>
          <w:p w14:paraId="7BDF9776">
            <w:pPr>
              <w:spacing w:line="240" w:lineRule="auto"/>
              <w:ind w:left="1" w:hanging="3"/>
              <w:jc w:val="both"/>
              <w:rPr>
                <w:sz w:val="26"/>
                <w:szCs w:val="26"/>
              </w:rPr>
            </w:pPr>
            <w:r>
              <w:rPr>
                <w:sz w:val="26"/>
                <w:szCs w:val="26"/>
              </w:rPr>
              <w:t>Đã tham mưu Ủy ban nhân dân Thành phố ban hành Quyết định số 5878/QĐ-UBND ngày 22 tháng 12 năm 2023 về phê duyệt Đề án nâng cao hiệu quả thu hút nguồn vốn đầu tư trực tiếp nước ngoài trên địa bàn Thành phố Hồ Chí Minh giai đoạn 2023 - 2025 tầm nhìn 2030.</w:t>
            </w:r>
          </w:p>
          <w:p w14:paraId="4BC2972E">
            <w:pPr>
              <w:spacing w:line="240" w:lineRule="auto"/>
              <w:ind w:left="1" w:hanging="3"/>
              <w:jc w:val="center"/>
              <w:rPr>
                <w:sz w:val="26"/>
                <w:szCs w:val="26"/>
              </w:rPr>
            </w:pPr>
          </w:p>
        </w:tc>
        <w:tc>
          <w:tcPr>
            <w:tcW w:w="992" w:type="dxa"/>
            <w:gridSpan w:val="2"/>
            <w:vAlign w:val="center"/>
          </w:tcPr>
          <w:p w14:paraId="032EAFBC">
            <w:pPr>
              <w:spacing w:line="240" w:lineRule="auto"/>
              <w:ind w:left="1" w:hanging="3"/>
              <w:jc w:val="center"/>
              <w:rPr>
                <w:sz w:val="26"/>
                <w:szCs w:val="26"/>
              </w:rPr>
            </w:pPr>
            <w:r>
              <w:rPr>
                <w:sz w:val="26"/>
                <w:szCs w:val="26"/>
              </w:rPr>
              <w:t>Đã hoàn thành</w:t>
            </w:r>
          </w:p>
        </w:tc>
      </w:tr>
      <w:tr w14:paraId="016AF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0F65A539">
            <w:pPr>
              <w:pStyle w:val="139"/>
              <w:numPr>
                <w:ilvl w:val="0"/>
                <w:numId w:val="1"/>
              </w:numPr>
              <w:spacing w:line="240" w:lineRule="auto"/>
              <w:ind w:leftChars="0" w:firstLineChars="0"/>
              <w:jc w:val="both"/>
              <w:rPr>
                <w:sz w:val="26"/>
                <w:szCs w:val="26"/>
              </w:rPr>
            </w:pPr>
          </w:p>
        </w:tc>
        <w:tc>
          <w:tcPr>
            <w:tcW w:w="1834" w:type="dxa"/>
            <w:vAlign w:val="center"/>
          </w:tcPr>
          <w:p w14:paraId="49803660">
            <w:pPr>
              <w:spacing w:line="240" w:lineRule="auto"/>
              <w:ind w:left="1" w:hanging="3"/>
              <w:jc w:val="both"/>
              <w:rPr>
                <w:sz w:val="26"/>
                <w:szCs w:val="26"/>
              </w:rPr>
            </w:pPr>
            <w:r>
              <w:rPr>
                <w:sz w:val="26"/>
                <w:szCs w:val="26"/>
              </w:rPr>
              <w:t>Chương trình phát triển các Trung tâm Logistic</w:t>
            </w:r>
          </w:p>
        </w:tc>
        <w:tc>
          <w:tcPr>
            <w:tcW w:w="2351" w:type="dxa"/>
            <w:vAlign w:val="center"/>
          </w:tcPr>
          <w:p w14:paraId="56B2E354">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27C80148">
            <w:pPr>
              <w:spacing w:line="240" w:lineRule="auto"/>
              <w:ind w:left="1" w:hanging="3"/>
              <w:jc w:val="both"/>
              <w:rPr>
                <w:sz w:val="26"/>
                <w:szCs w:val="26"/>
              </w:rPr>
            </w:pPr>
            <w:r>
              <w:rPr>
                <w:sz w:val="26"/>
                <w:szCs w:val="26"/>
              </w:rPr>
              <w:t>- Đơn vị thực hiện: Sở Công Thương</w:t>
            </w:r>
          </w:p>
        </w:tc>
        <w:tc>
          <w:tcPr>
            <w:tcW w:w="3178" w:type="dxa"/>
            <w:vAlign w:val="center"/>
          </w:tcPr>
          <w:p w14:paraId="3EE5F2FC">
            <w:pPr>
              <w:spacing w:line="240" w:lineRule="auto"/>
              <w:ind w:left="1" w:hanging="3"/>
              <w:jc w:val="both"/>
              <w:rPr>
                <w:sz w:val="26"/>
                <w:szCs w:val="26"/>
              </w:rPr>
            </w:pPr>
            <w:r>
              <w:rPr>
                <w:sz w:val="26"/>
                <w:szCs w:val="26"/>
              </w:rPr>
              <w:t>Tập trung triển khai các nhiệm vụ trọng tâm của ngành trong chuỗi kế hoạch tổng thể phát triển ngành logistics đến năm 2025, định hướng đến năm 2030. Trong đó, tập trung rà soát pháp lý, hoàn chỉnh quy hoạch các khu vực dự kiến thành lập Trung tâm logistics tiến đến hình thành các trung tâm logistics. Đây là nhiệm vụ then chốt trong định hướng phát triển ngành logistics Thành phố.</w:t>
            </w:r>
          </w:p>
        </w:tc>
        <w:tc>
          <w:tcPr>
            <w:tcW w:w="1689" w:type="dxa"/>
            <w:vAlign w:val="center"/>
          </w:tcPr>
          <w:p w14:paraId="16A7807F">
            <w:pPr>
              <w:spacing w:line="240" w:lineRule="auto"/>
              <w:ind w:left="1" w:hanging="3"/>
              <w:jc w:val="both"/>
              <w:rPr>
                <w:sz w:val="26"/>
                <w:szCs w:val="26"/>
              </w:rPr>
            </w:pPr>
            <w:r>
              <w:rPr>
                <w:sz w:val="26"/>
                <w:szCs w:val="26"/>
              </w:rPr>
              <w:t xml:space="preserve">Khởi công </w:t>
            </w:r>
            <w:r>
              <w:rPr>
                <w:sz w:val="26"/>
                <w:szCs w:val="26"/>
              </w:rPr>
              <w:br w:type="textWrapping"/>
            </w:r>
            <w:r>
              <w:rPr>
                <w:sz w:val="26"/>
                <w:szCs w:val="26"/>
              </w:rPr>
              <w:t xml:space="preserve">ít nhất 01 (một) Trung tâm logistics tại </w:t>
            </w:r>
            <w:r>
              <w:rPr>
                <w:sz w:val="26"/>
                <w:szCs w:val="26"/>
              </w:rPr>
              <w:br w:type="textWrapping"/>
            </w:r>
            <w:r>
              <w:rPr>
                <w:sz w:val="26"/>
                <w:szCs w:val="26"/>
              </w:rPr>
              <w:t>Thành phố Hồ Chí Minh trước ngày 30/4/2025</w:t>
            </w:r>
          </w:p>
        </w:tc>
        <w:tc>
          <w:tcPr>
            <w:tcW w:w="4961" w:type="dxa"/>
          </w:tcPr>
          <w:p w14:paraId="32F93E89">
            <w:pPr>
              <w:spacing w:line="240" w:lineRule="auto"/>
              <w:ind w:left="1" w:hanging="3"/>
              <w:jc w:val="both"/>
              <w:rPr>
                <w:sz w:val="26"/>
                <w:szCs w:val="26"/>
              </w:rPr>
            </w:pPr>
            <w:r>
              <w:rPr>
                <w:sz w:val="26"/>
                <w:szCs w:val="26"/>
              </w:rPr>
              <w:t>- Sở Công Thương phối hợp với Ban Quản lý Khu Công nghệ cao tham mưu các quy trình lựa chọn nhà đầu tư trong lĩnh vực logistic phù hợp với Đề án phát triển ngành logistic Thành phố đến năm 2025, định hướng đến năm 2030. Đến nay, đã lựa chọn Công ty Cổ phần Western Pacific là nhà đầu tư thực hiện Dự án “Cảng cạn - Trung tâm Logistic Khu Công nghệ cao”.</w:t>
            </w:r>
          </w:p>
          <w:p w14:paraId="1EE0E2AA">
            <w:pPr>
              <w:spacing w:line="240" w:lineRule="auto"/>
              <w:ind w:left="1" w:hanging="3"/>
              <w:jc w:val="both"/>
              <w:rPr>
                <w:sz w:val="26"/>
                <w:szCs w:val="26"/>
              </w:rPr>
            </w:pPr>
            <w:r>
              <w:rPr>
                <w:sz w:val="26"/>
                <w:szCs w:val="26"/>
              </w:rPr>
              <w:t>- Hiện nay, dự án có nội dung chưa phù hợp với quy hoạch chi tiết xây dựng tỷ lệ 1/2000 (quy hoạch phân khu) được duyệt, đã báo cáo Ủy ban nhân dân Thành phố.</w:t>
            </w:r>
          </w:p>
          <w:p w14:paraId="346465E1">
            <w:pPr>
              <w:spacing w:line="240" w:lineRule="auto"/>
              <w:ind w:left="1" w:hanging="3"/>
              <w:rPr>
                <w:sz w:val="26"/>
                <w:szCs w:val="26"/>
              </w:rPr>
            </w:pPr>
            <w:r>
              <w:rPr>
                <w:sz w:val="26"/>
                <w:szCs w:val="26"/>
              </w:rPr>
              <w:t>- Dự kiến khởi công trong quý I năm 2025.</w:t>
            </w:r>
          </w:p>
        </w:tc>
        <w:tc>
          <w:tcPr>
            <w:tcW w:w="992" w:type="dxa"/>
            <w:gridSpan w:val="2"/>
            <w:vAlign w:val="center"/>
          </w:tcPr>
          <w:p w14:paraId="0AA54594">
            <w:pPr>
              <w:spacing w:line="240" w:lineRule="auto"/>
              <w:ind w:left="1" w:hanging="3"/>
              <w:jc w:val="center"/>
              <w:rPr>
                <w:sz w:val="26"/>
                <w:szCs w:val="26"/>
              </w:rPr>
            </w:pPr>
          </w:p>
        </w:tc>
      </w:tr>
      <w:tr w14:paraId="033DC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F29A2B3">
            <w:pPr>
              <w:pStyle w:val="139"/>
              <w:numPr>
                <w:ilvl w:val="0"/>
                <w:numId w:val="1"/>
              </w:numPr>
              <w:spacing w:line="240" w:lineRule="auto"/>
              <w:ind w:leftChars="0" w:firstLineChars="0"/>
              <w:jc w:val="both"/>
              <w:rPr>
                <w:sz w:val="26"/>
                <w:szCs w:val="26"/>
              </w:rPr>
            </w:pPr>
          </w:p>
        </w:tc>
        <w:tc>
          <w:tcPr>
            <w:tcW w:w="1834" w:type="dxa"/>
            <w:vAlign w:val="center"/>
          </w:tcPr>
          <w:p w14:paraId="7B53B099">
            <w:pPr>
              <w:spacing w:line="240" w:lineRule="auto"/>
              <w:ind w:left="1" w:hanging="3"/>
              <w:jc w:val="both"/>
              <w:rPr>
                <w:sz w:val="26"/>
                <w:szCs w:val="26"/>
              </w:rPr>
            </w:pPr>
            <w:r>
              <w:rPr>
                <w:sz w:val="26"/>
                <w:szCs w:val="26"/>
              </w:rPr>
              <w:t>Chương trình phát triển hạ tầng Khu công nghiệp</w:t>
            </w:r>
          </w:p>
          <w:p w14:paraId="54AAE7D3">
            <w:pPr>
              <w:spacing w:line="240" w:lineRule="auto"/>
              <w:ind w:left="1" w:hanging="3"/>
              <w:jc w:val="both"/>
              <w:rPr>
                <w:sz w:val="26"/>
                <w:szCs w:val="26"/>
              </w:rPr>
            </w:pPr>
          </w:p>
        </w:tc>
        <w:tc>
          <w:tcPr>
            <w:tcW w:w="2351" w:type="dxa"/>
            <w:vAlign w:val="center"/>
          </w:tcPr>
          <w:p w14:paraId="3B8C6870">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148F61EA">
            <w:pPr>
              <w:spacing w:line="240" w:lineRule="auto"/>
              <w:ind w:left="1" w:hanging="3"/>
              <w:jc w:val="both"/>
              <w:rPr>
                <w:sz w:val="26"/>
                <w:szCs w:val="26"/>
              </w:rPr>
            </w:pPr>
            <w:r>
              <w:rPr>
                <w:sz w:val="26"/>
                <w:szCs w:val="26"/>
              </w:rPr>
              <w:t xml:space="preserve">- Đơn vị thực hiện: Ban Quản lý các Khu chế xuất và công nghiệp Thành phố, Sở Công Thương, </w:t>
            </w:r>
            <w:r>
              <w:rPr>
                <w:sz w:val="26"/>
                <w:szCs w:val="26"/>
              </w:rPr>
              <w:br w:type="textWrapping"/>
            </w:r>
            <w:r>
              <w:rPr>
                <w:sz w:val="26"/>
                <w:szCs w:val="26"/>
              </w:rPr>
              <w:t xml:space="preserve">Sở Kế hoạch và Đầu tư, </w:t>
            </w:r>
            <w:r>
              <w:rPr>
                <w:sz w:val="26"/>
                <w:szCs w:val="26"/>
              </w:rPr>
              <w:br w:type="textWrapping"/>
            </w:r>
            <w:r>
              <w:rPr>
                <w:sz w:val="26"/>
                <w:szCs w:val="26"/>
              </w:rPr>
              <w:t xml:space="preserve">Sở Tài nguyên </w:t>
            </w:r>
            <w:r>
              <w:rPr>
                <w:sz w:val="26"/>
                <w:szCs w:val="26"/>
              </w:rPr>
              <w:br w:type="textWrapping"/>
            </w:r>
            <w:r>
              <w:rPr>
                <w:sz w:val="26"/>
                <w:szCs w:val="26"/>
              </w:rPr>
              <w:t xml:space="preserve">và Môi trường, </w:t>
            </w:r>
            <w:r>
              <w:rPr>
                <w:sz w:val="26"/>
                <w:szCs w:val="26"/>
              </w:rPr>
              <w:br w:type="textWrapping"/>
            </w:r>
            <w:r>
              <w:rPr>
                <w:sz w:val="26"/>
                <w:szCs w:val="26"/>
              </w:rPr>
              <w:t xml:space="preserve">Sở Quy hoạch - </w:t>
            </w:r>
            <w:r>
              <w:rPr>
                <w:sz w:val="26"/>
                <w:szCs w:val="26"/>
              </w:rPr>
              <w:br w:type="textWrapping"/>
            </w:r>
            <w:r>
              <w:rPr>
                <w:sz w:val="26"/>
                <w:szCs w:val="26"/>
              </w:rPr>
              <w:t>Kiến trúc</w:t>
            </w:r>
          </w:p>
        </w:tc>
        <w:tc>
          <w:tcPr>
            <w:tcW w:w="3178" w:type="dxa"/>
            <w:vAlign w:val="center"/>
          </w:tcPr>
          <w:p w14:paraId="5BABFD96">
            <w:pPr>
              <w:spacing w:line="240" w:lineRule="auto"/>
              <w:ind w:left="1" w:hanging="3"/>
              <w:jc w:val="both"/>
              <w:rPr>
                <w:sz w:val="26"/>
                <w:szCs w:val="26"/>
              </w:rPr>
            </w:pPr>
            <w:r>
              <w:rPr>
                <w:sz w:val="26"/>
                <w:szCs w:val="26"/>
              </w:rPr>
              <w:t>- Phát triển mới 1.000 ha đất khu công nghiệp.</w:t>
            </w:r>
          </w:p>
          <w:p w14:paraId="702C4A71">
            <w:pPr>
              <w:spacing w:line="240" w:lineRule="auto"/>
              <w:ind w:left="1" w:hanging="3"/>
              <w:jc w:val="both"/>
              <w:rPr>
                <w:sz w:val="26"/>
                <w:szCs w:val="26"/>
              </w:rPr>
            </w:pPr>
          </w:p>
          <w:p w14:paraId="6E30C0EB">
            <w:pPr>
              <w:spacing w:line="240" w:lineRule="auto"/>
              <w:ind w:left="1" w:hanging="3"/>
              <w:jc w:val="both"/>
              <w:rPr>
                <w:sz w:val="26"/>
                <w:szCs w:val="26"/>
              </w:rPr>
            </w:pPr>
            <w:r>
              <w:rPr>
                <w:sz w:val="26"/>
                <w:szCs w:val="26"/>
              </w:rPr>
              <w:t>- Xây dựng hoàn thành Đề án chuyển đổi thí điểm 05 Khu Chế xuất, Khu Công nghiệp (Tân Thuận, Tân Bình, Cát Lái, Hiệp Phước, Bình Chiểu).</w:t>
            </w:r>
          </w:p>
          <w:p w14:paraId="5F65D88D">
            <w:pPr>
              <w:spacing w:line="240" w:lineRule="auto"/>
              <w:ind w:left="1" w:hanging="3"/>
              <w:jc w:val="both"/>
              <w:rPr>
                <w:sz w:val="26"/>
                <w:szCs w:val="26"/>
              </w:rPr>
            </w:pPr>
          </w:p>
          <w:p w14:paraId="613189B0">
            <w:pPr>
              <w:spacing w:line="240" w:lineRule="auto"/>
              <w:ind w:left="1" w:hanging="3"/>
              <w:jc w:val="both"/>
              <w:rPr>
                <w:sz w:val="26"/>
                <w:szCs w:val="26"/>
              </w:rPr>
            </w:pPr>
          </w:p>
        </w:tc>
        <w:tc>
          <w:tcPr>
            <w:tcW w:w="1689" w:type="dxa"/>
            <w:vAlign w:val="center"/>
          </w:tcPr>
          <w:p w14:paraId="447C176E">
            <w:pPr>
              <w:spacing w:line="240" w:lineRule="auto"/>
              <w:ind w:left="1" w:hanging="3"/>
              <w:jc w:val="both"/>
              <w:rPr>
                <w:sz w:val="26"/>
                <w:szCs w:val="26"/>
              </w:rPr>
            </w:pPr>
            <w:r>
              <w:rPr>
                <w:sz w:val="26"/>
                <w:szCs w:val="26"/>
              </w:rPr>
              <w:t>- Hoàn thành dịp 30/4/2025</w:t>
            </w:r>
          </w:p>
          <w:p w14:paraId="679B9F6A">
            <w:pPr>
              <w:spacing w:line="240" w:lineRule="auto"/>
              <w:ind w:left="1" w:hanging="3"/>
              <w:jc w:val="both"/>
              <w:rPr>
                <w:sz w:val="26"/>
                <w:szCs w:val="26"/>
              </w:rPr>
            </w:pPr>
          </w:p>
          <w:p w14:paraId="583F9826">
            <w:pPr>
              <w:spacing w:line="240" w:lineRule="auto"/>
              <w:ind w:left="1" w:hanging="3"/>
              <w:jc w:val="both"/>
              <w:rPr>
                <w:sz w:val="26"/>
                <w:szCs w:val="26"/>
              </w:rPr>
            </w:pPr>
            <w:r>
              <w:rPr>
                <w:sz w:val="26"/>
                <w:szCs w:val="26"/>
              </w:rPr>
              <w:t>- Hoàn thành trong năm 2024</w:t>
            </w:r>
          </w:p>
          <w:p w14:paraId="1ABCC033">
            <w:pPr>
              <w:spacing w:line="240" w:lineRule="auto"/>
              <w:ind w:left="1" w:hanging="3"/>
              <w:jc w:val="both"/>
              <w:rPr>
                <w:sz w:val="26"/>
                <w:szCs w:val="26"/>
              </w:rPr>
            </w:pPr>
          </w:p>
          <w:p w14:paraId="56262890">
            <w:pPr>
              <w:spacing w:line="240" w:lineRule="auto"/>
              <w:ind w:left="1" w:hanging="3"/>
              <w:jc w:val="both"/>
              <w:rPr>
                <w:sz w:val="26"/>
                <w:szCs w:val="26"/>
              </w:rPr>
            </w:pPr>
          </w:p>
          <w:p w14:paraId="10EEF375">
            <w:pPr>
              <w:spacing w:line="240" w:lineRule="auto"/>
              <w:ind w:left="1" w:hanging="3"/>
              <w:jc w:val="both"/>
              <w:rPr>
                <w:sz w:val="26"/>
                <w:szCs w:val="26"/>
              </w:rPr>
            </w:pPr>
          </w:p>
        </w:tc>
        <w:tc>
          <w:tcPr>
            <w:tcW w:w="4961" w:type="dxa"/>
            <w:vAlign w:val="center"/>
          </w:tcPr>
          <w:p w14:paraId="39FE8C7F">
            <w:pPr>
              <w:spacing w:line="240" w:lineRule="auto"/>
              <w:ind w:left="1" w:hanging="3"/>
              <w:jc w:val="both"/>
              <w:rPr>
                <w:sz w:val="26"/>
                <w:szCs w:val="26"/>
              </w:rPr>
            </w:pPr>
            <w:r>
              <w:rPr>
                <w:sz w:val="26"/>
                <w:szCs w:val="26"/>
              </w:rPr>
              <w:t>1. Phát triển mới hơn 1.000 ha đất KCN</w:t>
            </w:r>
          </w:p>
          <w:p w14:paraId="7560B86E">
            <w:pPr>
              <w:spacing w:line="240" w:lineRule="auto"/>
              <w:ind w:left="1" w:hanging="3"/>
              <w:jc w:val="both"/>
              <w:rPr>
                <w:sz w:val="26"/>
                <w:szCs w:val="26"/>
              </w:rPr>
            </w:pPr>
            <w:r>
              <w:rPr>
                <w:sz w:val="26"/>
                <w:szCs w:val="26"/>
              </w:rPr>
              <w:t>- KCN Phạm Văn Hai I và II (diện tích 668 ha): Ban Quản lý đang thực hiện nhiệm vụ lập đồ án quy hoạch phân khu xây dựng tỷ lệ 1/2000</w:t>
            </w:r>
          </w:p>
          <w:p w14:paraId="1A903B11">
            <w:pPr>
              <w:spacing w:line="240" w:lineRule="auto"/>
              <w:ind w:left="1" w:hanging="3"/>
              <w:jc w:val="both"/>
              <w:rPr>
                <w:sz w:val="26"/>
                <w:szCs w:val="26"/>
              </w:rPr>
            </w:pPr>
            <w:r>
              <w:rPr>
                <w:sz w:val="26"/>
                <w:szCs w:val="26"/>
              </w:rPr>
              <w:t>- KCN Lê Minh Xuân mở rộng - giai đoạn 1 (diện tích 89,5 ha):</w:t>
            </w:r>
          </w:p>
          <w:p w14:paraId="2A36AC41">
            <w:pPr>
              <w:spacing w:line="240" w:lineRule="auto"/>
              <w:ind w:left="1" w:hanging="3"/>
              <w:jc w:val="both"/>
              <w:rPr>
                <w:sz w:val="26"/>
                <w:szCs w:val="26"/>
              </w:rPr>
            </w:pPr>
            <w:r>
              <w:rPr>
                <w:sz w:val="26"/>
                <w:szCs w:val="26"/>
              </w:rPr>
              <w:t>+ Sở Tài nguyên và Môi trường đang xác định nghĩa vụ tài chính về tiền thuê đất đối với giai đoạn 1, diện tích 895.873,6m2, để chủ đầu tư sớm hoàn tất nghĩa vụ làm cơ sở giải quyết cấp Giấy chứng nhận quyền sử dụng đất theo quy định và thực hiện các thủ tục pháp lý tiếp theo;</w:t>
            </w:r>
          </w:p>
          <w:p w14:paraId="0E7B127B">
            <w:pPr>
              <w:spacing w:line="240" w:lineRule="auto"/>
              <w:ind w:left="1" w:hanging="3"/>
              <w:jc w:val="both"/>
              <w:rPr>
                <w:sz w:val="26"/>
                <w:szCs w:val="26"/>
              </w:rPr>
            </w:pPr>
            <w:r>
              <w:rPr>
                <w:sz w:val="26"/>
                <w:szCs w:val="26"/>
              </w:rPr>
              <w:t xml:space="preserve">+ Ủy ban nhân dân huyện Bình Chánh đang thực hiện công tác bồi thường, thu hồi đất đối với diện tích còn lại (giai đoạn 2 và giai đoạn </w:t>
            </w:r>
            <w:r>
              <w:rPr>
                <w:spacing w:val="-10"/>
                <w:sz w:val="26"/>
                <w:szCs w:val="26"/>
              </w:rPr>
              <w:t>3) của dự án theo phương án và chính sách được duyệt.</w:t>
            </w:r>
          </w:p>
          <w:p w14:paraId="2280BC7F">
            <w:pPr>
              <w:spacing w:line="240" w:lineRule="auto"/>
              <w:ind w:left="1" w:hanging="3"/>
              <w:jc w:val="both"/>
              <w:rPr>
                <w:sz w:val="26"/>
                <w:szCs w:val="26"/>
              </w:rPr>
            </w:pPr>
            <w:r>
              <w:rPr>
                <w:sz w:val="26"/>
                <w:szCs w:val="26"/>
              </w:rPr>
              <w:t>- KCN Hiệp Phước giai đoạn 2 (diện tích 596,93 ha): Sở Tài nguyên và Môi trường đang tham mưu đề xuất trình Ủy ban nhân dân Thành phố về việc xác định giá đất của các khu đất thuộc dự án Khu công nghiệp Hiệp Phước giai đoạn 2 và một phần giai đoạn 1 tại xã Hiệp Phước, huyện Nhà Bè.</w:t>
            </w:r>
          </w:p>
          <w:p w14:paraId="3FCC1660">
            <w:pPr>
              <w:spacing w:line="240" w:lineRule="auto"/>
              <w:ind w:left="1" w:hanging="3"/>
              <w:jc w:val="both"/>
              <w:rPr>
                <w:sz w:val="26"/>
                <w:szCs w:val="26"/>
              </w:rPr>
            </w:pPr>
            <w:r>
              <w:rPr>
                <w:sz w:val="26"/>
                <w:szCs w:val="26"/>
              </w:rPr>
              <w:t>Ban Quản lý đã phối hợp với Sở Quy hoạch - Kiến trúc, Sở Kế hoạch và Đầu tư, Viện Nghiên cứu phát triển Thành phố và Ban Quản lý Dự án quy hoạch Thành phố Hồ Chí Minh giai đoạn 2021 - 2030, tầm nhìn đến năm 2050 đưa quỹ đất công nghiệp bổ sung cho Thành phố khoảng 4.127 ha vào Quy hoạch Thành phố giai đoạn 2021 - 2030, tầm nhìn đến năm 2050 và Quy hoạch chung của Thành phố đến năm 2040, tầm nhìn đến năm 2060 (tại Công văn số 1236/BQL-QHXD ngày 15 tháng 5 năm 2024).</w:t>
            </w:r>
          </w:p>
          <w:p w14:paraId="13832A3C">
            <w:pPr>
              <w:spacing w:line="240" w:lineRule="auto"/>
              <w:ind w:left="1" w:hanging="3"/>
              <w:jc w:val="both"/>
              <w:rPr>
                <w:sz w:val="26"/>
                <w:szCs w:val="26"/>
              </w:rPr>
            </w:pPr>
            <w:r>
              <w:rPr>
                <w:sz w:val="26"/>
                <w:szCs w:val="26"/>
              </w:rPr>
              <w:t>2. Xây dựng hoàn thành Đề án chuyển đổi thí điểm 05 KCX, KCN bao gồm: Tân Thuận, Tân Bình, Cát Lái, Hiệp Phước, Bình Chiểu:</w:t>
            </w:r>
          </w:p>
          <w:p w14:paraId="29F7EC9B">
            <w:pPr>
              <w:spacing w:line="240" w:lineRule="auto"/>
              <w:ind w:left="1" w:hanging="3"/>
              <w:jc w:val="both"/>
              <w:rPr>
                <w:sz w:val="26"/>
                <w:szCs w:val="26"/>
              </w:rPr>
            </w:pPr>
            <w:r>
              <w:rPr>
                <w:sz w:val="26"/>
                <w:szCs w:val="26"/>
              </w:rPr>
              <w:t>Ngày 10 tháng 5 năm 2024, Văn phòng Ủy ban nhân dân Thành phố có Thông báo số 475/TB-VP về Kết luận của Chủ tịch Ủy ban nhân dân Thành phố về Đề án chuyển đổi thí điểm 5 KCX, KCN, theo đó, chỉ đạo: Giao 05 Công ty xây dựng và kinh doanh cơ sở hạ tầng là chủ đầu tư của 05 khu chế xuất, khu công nghiệp thí điểm chuyển đổi (Tân Thuận, Tân Bình, Cát Lái, Bình Chiểu, Hiệp Phước) xây dựng Đề án chuyển đổi mô hình của khu công nghiệp đang quản lý theo định hướng đã được Ủy ban nhân dân Thành phố phê duyệt tại Quyết định số 1353/QĐ-UBND ngày 11 tháng 4 năm 2023 về phê duyệt Đề án “Định hướng phát triển các khu chế xuất, khu công nghiệp Thành phố Hồ Chí Minh giai đoạn 2023 - 2030 và tầm nhìn đến năm 2045”.</w:t>
            </w:r>
          </w:p>
          <w:p w14:paraId="273CC19D">
            <w:pPr>
              <w:spacing w:line="240" w:lineRule="auto"/>
              <w:ind w:left="1" w:hanging="3"/>
              <w:jc w:val="both"/>
              <w:rPr>
                <w:sz w:val="26"/>
                <w:szCs w:val="26"/>
              </w:rPr>
            </w:pPr>
            <w:r>
              <w:rPr>
                <w:sz w:val="26"/>
                <w:szCs w:val="26"/>
              </w:rPr>
              <w:t>Thời hạn hoàn thành: tháng 4 năm 2025.</w:t>
            </w:r>
          </w:p>
        </w:tc>
        <w:tc>
          <w:tcPr>
            <w:tcW w:w="992" w:type="dxa"/>
            <w:gridSpan w:val="2"/>
            <w:vAlign w:val="center"/>
          </w:tcPr>
          <w:p w14:paraId="60DC6C90">
            <w:pPr>
              <w:spacing w:line="240" w:lineRule="auto"/>
              <w:ind w:left="1" w:hanging="3"/>
              <w:jc w:val="center"/>
              <w:rPr>
                <w:sz w:val="26"/>
                <w:szCs w:val="26"/>
              </w:rPr>
            </w:pPr>
          </w:p>
        </w:tc>
      </w:tr>
      <w:tr w14:paraId="1BD9F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Pr>
        <w:tc>
          <w:tcPr>
            <w:tcW w:w="855" w:type="dxa"/>
            <w:vAlign w:val="center"/>
          </w:tcPr>
          <w:p w14:paraId="74783501">
            <w:pPr>
              <w:spacing w:line="240" w:lineRule="auto"/>
              <w:ind w:left="0" w:leftChars="0" w:firstLine="0" w:firstLineChars="0"/>
              <w:jc w:val="center"/>
              <w:rPr>
                <w:sz w:val="26"/>
                <w:szCs w:val="26"/>
              </w:rPr>
            </w:pPr>
            <w:r>
              <w:rPr>
                <w:b/>
                <w:sz w:val="26"/>
                <w:szCs w:val="26"/>
              </w:rPr>
              <w:t>III</w:t>
            </w:r>
          </w:p>
        </w:tc>
        <w:tc>
          <w:tcPr>
            <w:tcW w:w="14880" w:type="dxa"/>
            <w:gridSpan w:val="6"/>
            <w:vAlign w:val="center"/>
          </w:tcPr>
          <w:p w14:paraId="42965223">
            <w:pPr>
              <w:spacing w:line="240" w:lineRule="auto"/>
              <w:ind w:left="1" w:hanging="3"/>
              <w:jc w:val="both"/>
              <w:rPr>
                <w:sz w:val="26"/>
                <w:szCs w:val="26"/>
              </w:rPr>
            </w:pPr>
            <w:r>
              <w:rPr>
                <w:b/>
                <w:sz w:val="26"/>
                <w:szCs w:val="26"/>
              </w:rPr>
              <w:t>LĨNH VỰC ĐÔ THỊ</w:t>
            </w:r>
          </w:p>
        </w:tc>
      </w:tr>
      <w:tr w14:paraId="6E4BE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359164B">
            <w:pPr>
              <w:pStyle w:val="139"/>
              <w:numPr>
                <w:ilvl w:val="0"/>
                <w:numId w:val="1"/>
              </w:numPr>
              <w:spacing w:line="240" w:lineRule="auto"/>
              <w:ind w:leftChars="0" w:firstLineChars="0"/>
              <w:jc w:val="both"/>
              <w:rPr>
                <w:sz w:val="26"/>
                <w:szCs w:val="26"/>
              </w:rPr>
            </w:pPr>
          </w:p>
        </w:tc>
        <w:tc>
          <w:tcPr>
            <w:tcW w:w="1834" w:type="dxa"/>
            <w:vAlign w:val="center"/>
          </w:tcPr>
          <w:p w14:paraId="5BB8EBE0">
            <w:pPr>
              <w:spacing w:line="240" w:lineRule="auto"/>
              <w:ind w:left="1" w:hanging="3"/>
              <w:jc w:val="both"/>
              <w:rPr>
                <w:sz w:val="26"/>
                <w:szCs w:val="26"/>
              </w:rPr>
            </w:pPr>
            <w:r>
              <w:rPr>
                <w:sz w:val="26"/>
                <w:szCs w:val="26"/>
              </w:rPr>
              <w:t>Đồ án điều chỉnh Quy hoạch chung Thành phố Hồ Chí Minh đến năm 2040, tầm nhìn đến năm 2060</w:t>
            </w:r>
          </w:p>
        </w:tc>
        <w:tc>
          <w:tcPr>
            <w:tcW w:w="2351" w:type="dxa"/>
            <w:vAlign w:val="center"/>
          </w:tcPr>
          <w:p w14:paraId="603DC5CB">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3CD9D948">
            <w:pPr>
              <w:spacing w:line="240" w:lineRule="auto"/>
              <w:ind w:left="1" w:hanging="3"/>
              <w:jc w:val="both"/>
              <w:rPr>
                <w:sz w:val="26"/>
                <w:szCs w:val="26"/>
              </w:rPr>
            </w:pPr>
            <w:r>
              <w:rPr>
                <w:sz w:val="26"/>
                <w:szCs w:val="26"/>
              </w:rPr>
              <w:t xml:space="preserve">- Đơn vị chủ trì: Sở Quy hoạch - </w:t>
            </w:r>
            <w:r>
              <w:rPr>
                <w:sz w:val="26"/>
                <w:szCs w:val="26"/>
              </w:rPr>
              <w:br w:type="textWrapping"/>
            </w:r>
            <w:r>
              <w:rPr>
                <w:sz w:val="26"/>
                <w:szCs w:val="26"/>
              </w:rPr>
              <w:t>Kiến trúc</w:t>
            </w:r>
          </w:p>
        </w:tc>
        <w:tc>
          <w:tcPr>
            <w:tcW w:w="3178" w:type="dxa"/>
            <w:vAlign w:val="center"/>
          </w:tcPr>
          <w:p w14:paraId="0C718583">
            <w:pPr>
              <w:spacing w:line="240" w:lineRule="auto"/>
              <w:ind w:left="1" w:hanging="3"/>
              <w:jc w:val="both"/>
              <w:rPr>
                <w:sz w:val="26"/>
                <w:szCs w:val="26"/>
              </w:rPr>
            </w:pPr>
            <w:r>
              <w:rPr>
                <w:sz w:val="26"/>
                <w:szCs w:val="26"/>
              </w:rPr>
              <w:t>Là cơ sở pháp lý cho việc quản lý phát triển đô thị, đặc biệt là xác định phương hướng phát triển không gian, các chức năng đô thị và hệ thống hạ tầng kỹ thuật quan trọng của thành phố hướng tới một thành phố thông minh, sáng tạo, văn minh, hiện đại; công cụ quản lý, phát triển Thành phố, bảo đảm giữ vững vai trò Thành phố là trung tâm kinh tế, văn hóa, giáo dục đào tạo, khoa học kỹ thuật và công nghệ quan trọng của quốc gia, có vai trò tiên phong dẫn dắt đổi mới, sáng tạo; có vị trí quan trọng trong chiến lược phát triển đô thị quốc gia; là một trong những trung tâm du lịch, tài chính - thương mại và dịch vụ logistics của khu vực Đông Nam Á và Châu Á - Thái Bình Dương.</w:t>
            </w:r>
          </w:p>
        </w:tc>
        <w:tc>
          <w:tcPr>
            <w:tcW w:w="1689" w:type="dxa"/>
            <w:vAlign w:val="center"/>
          </w:tcPr>
          <w:p w14:paraId="7A1BAAB5">
            <w:pPr>
              <w:spacing w:line="240" w:lineRule="auto"/>
              <w:ind w:left="1" w:hanging="3"/>
              <w:jc w:val="both"/>
              <w:rPr>
                <w:sz w:val="26"/>
                <w:szCs w:val="26"/>
              </w:rPr>
            </w:pPr>
            <w:r>
              <w:rPr>
                <w:sz w:val="26"/>
                <w:szCs w:val="26"/>
              </w:rPr>
              <w:t>Hoàn thành dịp 30/4/2025</w:t>
            </w:r>
          </w:p>
        </w:tc>
        <w:tc>
          <w:tcPr>
            <w:tcW w:w="4961" w:type="dxa"/>
            <w:vAlign w:val="center"/>
          </w:tcPr>
          <w:p w14:paraId="1270E3D5">
            <w:pPr>
              <w:spacing w:line="240" w:lineRule="auto"/>
              <w:ind w:left="1" w:leftChars="0" w:firstLine="0" w:firstLineChars="0"/>
              <w:jc w:val="both"/>
              <w:rPr>
                <w:sz w:val="26"/>
                <w:szCs w:val="26"/>
              </w:rPr>
            </w:pPr>
            <w:r>
              <w:rPr>
                <w:sz w:val="26"/>
                <w:szCs w:val="26"/>
              </w:rPr>
              <w:t>- Ngày 09 tháng 8 năm 2024, Ủy ban nhân dân Thành phố đã có Tờ trình gửi Bộ Xây dựng về thẩm định, phê duyệt Đồ án Điều chỉnh quy hoạch chung Thành phố đến năm 2040, tầm nhìn đến năm 2060.</w:t>
            </w:r>
          </w:p>
          <w:p w14:paraId="0FE12272">
            <w:pPr>
              <w:pBdr>
                <w:top w:val="none" w:color="auto" w:sz="0" w:space="0"/>
                <w:left w:val="none" w:color="auto" w:sz="0" w:space="0"/>
                <w:bottom w:val="none" w:color="auto" w:sz="0" w:space="0"/>
                <w:right w:val="none" w:color="auto" w:sz="0" w:space="0"/>
                <w:between w:val="none" w:color="auto" w:sz="0" w:space="0"/>
              </w:pBdr>
              <w:spacing w:line="240" w:lineRule="auto"/>
              <w:ind w:left="1" w:leftChars="0" w:firstLine="0" w:firstLineChars="0"/>
              <w:jc w:val="both"/>
              <w:rPr>
                <w:sz w:val="26"/>
                <w:szCs w:val="26"/>
              </w:rPr>
            </w:pPr>
            <w:r>
              <w:rPr>
                <w:sz w:val="26"/>
                <w:szCs w:val="26"/>
              </w:rPr>
              <w:t>- Ngày 23 tháng 8 năm 2024, Bộ Xây dựng đã có Công văn số 4773/BXD-QHKT về hồ sơ Đồ án. Hiện nay, Sở Quy hoạch - Kiến trúc đang phối hợp với đơn vị tư vấn để rà soát, bổ sung hồ sơ phục vụ công tác lấy ý kiến Bộ, ngành liên quan theo yêu cầu của Bộ Xây dựng tại Công văn 4773/BXD-QHKT nêu trên.</w:t>
            </w:r>
          </w:p>
        </w:tc>
        <w:tc>
          <w:tcPr>
            <w:tcW w:w="992" w:type="dxa"/>
            <w:gridSpan w:val="2"/>
            <w:vAlign w:val="center"/>
          </w:tcPr>
          <w:p w14:paraId="4AF32E81">
            <w:pPr>
              <w:spacing w:line="240" w:lineRule="auto"/>
              <w:ind w:left="1" w:hanging="3"/>
              <w:jc w:val="center"/>
              <w:rPr>
                <w:sz w:val="26"/>
                <w:szCs w:val="26"/>
              </w:rPr>
            </w:pPr>
          </w:p>
        </w:tc>
      </w:tr>
      <w:tr w14:paraId="38432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03B62F1">
            <w:pPr>
              <w:pStyle w:val="139"/>
              <w:numPr>
                <w:ilvl w:val="0"/>
                <w:numId w:val="1"/>
              </w:numPr>
              <w:spacing w:line="240" w:lineRule="auto"/>
              <w:ind w:leftChars="0" w:firstLineChars="0"/>
              <w:jc w:val="both"/>
              <w:rPr>
                <w:sz w:val="26"/>
                <w:szCs w:val="26"/>
              </w:rPr>
            </w:pPr>
          </w:p>
        </w:tc>
        <w:tc>
          <w:tcPr>
            <w:tcW w:w="1834" w:type="dxa"/>
            <w:vAlign w:val="center"/>
          </w:tcPr>
          <w:p w14:paraId="314F997C">
            <w:pPr>
              <w:spacing w:line="240" w:lineRule="auto"/>
              <w:ind w:left="1" w:hanging="3"/>
              <w:jc w:val="both"/>
              <w:rPr>
                <w:sz w:val="26"/>
                <w:szCs w:val="26"/>
              </w:rPr>
            </w:pPr>
            <w:r>
              <w:rPr>
                <w:sz w:val="26"/>
                <w:szCs w:val="26"/>
              </w:rPr>
              <w:t>Chương trình phát triển nhà ở Thành phố Hồ Chí Minh</w:t>
            </w:r>
          </w:p>
        </w:tc>
        <w:tc>
          <w:tcPr>
            <w:tcW w:w="2351" w:type="dxa"/>
            <w:vAlign w:val="center"/>
          </w:tcPr>
          <w:p w14:paraId="55BFED1B">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3EF81474">
            <w:pPr>
              <w:spacing w:line="240" w:lineRule="auto"/>
              <w:ind w:left="1" w:hanging="3"/>
              <w:jc w:val="both"/>
              <w:rPr>
                <w:sz w:val="26"/>
                <w:szCs w:val="26"/>
              </w:rPr>
            </w:pPr>
            <w:r>
              <w:rPr>
                <w:sz w:val="26"/>
                <w:szCs w:val="26"/>
              </w:rPr>
              <w:t>- Đơn vị thực hiện: Sở Xây dựng</w:t>
            </w:r>
          </w:p>
        </w:tc>
        <w:tc>
          <w:tcPr>
            <w:tcW w:w="3178" w:type="dxa"/>
            <w:vAlign w:val="center"/>
          </w:tcPr>
          <w:p w14:paraId="4E357258">
            <w:pPr>
              <w:spacing w:line="240" w:lineRule="auto"/>
              <w:ind w:left="1" w:hanging="3"/>
              <w:jc w:val="both"/>
              <w:rPr>
                <w:sz w:val="26"/>
                <w:szCs w:val="26"/>
              </w:rPr>
            </w:pPr>
            <w:r>
              <w:rPr>
                <w:sz w:val="26"/>
                <w:szCs w:val="26"/>
              </w:rPr>
              <w:t>1. Chương trình sửa chữa nhà chung cư cũ trên địa bàn Thành phố: Di dời, tháo dỡ đối với 14 chung cư được xây dựng trước năm 1975 có kết quả kiểm định hư hỏng nặng, nguy hiểm (tổng số căn hộ di dời 975 căn, tương ứng 46.356 m2 sàn xây dựng); Đưa vào sửa chữa 246 chung cư hư hỏng, xuống cấp được xây dựng trước năm 1975.</w:t>
            </w:r>
          </w:p>
          <w:p w14:paraId="73706964">
            <w:pPr>
              <w:spacing w:line="240" w:lineRule="auto"/>
              <w:ind w:left="1" w:hanging="3"/>
              <w:jc w:val="both"/>
              <w:rPr>
                <w:sz w:val="26"/>
                <w:szCs w:val="26"/>
              </w:rPr>
            </w:pPr>
            <w:r>
              <w:rPr>
                <w:sz w:val="26"/>
                <w:szCs w:val="26"/>
              </w:rPr>
              <w:t>2. Chương trình Nhà ở xã hội trên địa bàn Thành phố:  Hoàn thành các thủ tục đầu tư xây dựng để đưa vào đầu tư xây dựng khoảng 35.000 căn nhà ở xã hội tương ứng 2,5 triệu m2 sàn. Trong đó, phấn đấu hoàn thành khoảng 12.000 căn với tổng mức đầu tư khoảng 11.500 tỷ đồng, tương đương 1,15 triệu m2 sàn.</w:t>
            </w:r>
          </w:p>
          <w:p w14:paraId="3A880FD9">
            <w:pPr>
              <w:spacing w:line="240" w:lineRule="auto"/>
              <w:ind w:left="1" w:hanging="3"/>
              <w:jc w:val="both"/>
              <w:rPr>
                <w:sz w:val="26"/>
                <w:szCs w:val="26"/>
              </w:rPr>
            </w:pPr>
            <w:r>
              <w:rPr>
                <w:sz w:val="26"/>
                <w:szCs w:val="26"/>
              </w:rPr>
              <w:t>3. Chương trình Di dời và tổ chức lại cuộc sống cho người dân đang sống ven và trên kênh rạch trên địa bàn Thành phố: Phấn đấu hoàn tất bồi thường, giải phóng mặt bằng 2.780 căn nhà trên và ven kênh rạch thuộc các dự án: Dự án Nạo vét, cải tạo môi trường, xây dựng hạ tầng rạch Xuyên Tâm (dự kiến 2.196 căn); các dự án di dời nhà trên và ven kênh rạch đã được ghi vốn, đang triển khai công tác bồi thường, giải phóng mặt bằng trong giai đoạn 2021 - 2025 (dự kiến 585 căn),...</w:t>
            </w:r>
          </w:p>
        </w:tc>
        <w:tc>
          <w:tcPr>
            <w:tcW w:w="1689" w:type="dxa"/>
            <w:vAlign w:val="center"/>
          </w:tcPr>
          <w:p w14:paraId="10D4CEAD">
            <w:pPr>
              <w:spacing w:line="240" w:lineRule="auto"/>
              <w:ind w:left="1" w:hanging="3"/>
              <w:jc w:val="both"/>
              <w:rPr>
                <w:sz w:val="26"/>
                <w:szCs w:val="26"/>
              </w:rPr>
            </w:pPr>
            <w:r>
              <w:rPr>
                <w:sz w:val="26"/>
                <w:szCs w:val="26"/>
              </w:rPr>
              <w:t>- Hoàn thành dịp 30/4/2025</w:t>
            </w:r>
          </w:p>
          <w:p w14:paraId="4F098A54">
            <w:pPr>
              <w:spacing w:line="240" w:lineRule="auto"/>
              <w:ind w:left="1" w:hanging="3"/>
              <w:jc w:val="both"/>
              <w:rPr>
                <w:sz w:val="26"/>
                <w:szCs w:val="26"/>
              </w:rPr>
            </w:pPr>
          </w:p>
          <w:p w14:paraId="3C0C9D4B">
            <w:pPr>
              <w:spacing w:line="240" w:lineRule="auto"/>
              <w:ind w:left="1" w:hanging="3"/>
              <w:jc w:val="both"/>
              <w:rPr>
                <w:sz w:val="26"/>
                <w:szCs w:val="26"/>
              </w:rPr>
            </w:pPr>
          </w:p>
          <w:p w14:paraId="4AFB2BD9">
            <w:pPr>
              <w:spacing w:line="240" w:lineRule="auto"/>
              <w:ind w:left="1" w:hanging="3"/>
              <w:jc w:val="both"/>
              <w:rPr>
                <w:sz w:val="26"/>
                <w:szCs w:val="26"/>
              </w:rPr>
            </w:pPr>
          </w:p>
          <w:p w14:paraId="20CE095D">
            <w:pPr>
              <w:spacing w:line="240" w:lineRule="auto"/>
              <w:ind w:left="1" w:hanging="3"/>
              <w:jc w:val="both"/>
              <w:rPr>
                <w:sz w:val="26"/>
                <w:szCs w:val="26"/>
              </w:rPr>
            </w:pPr>
          </w:p>
          <w:p w14:paraId="1B49ECFC">
            <w:pPr>
              <w:spacing w:line="240" w:lineRule="auto"/>
              <w:ind w:left="1" w:hanging="3"/>
              <w:jc w:val="both"/>
              <w:rPr>
                <w:sz w:val="26"/>
                <w:szCs w:val="26"/>
              </w:rPr>
            </w:pPr>
          </w:p>
          <w:p w14:paraId="7E153BDC">
            <w:pPr>
              <w:spacing w:line="240" w:lineRule="auto"/>
              <w:ind w:left="1" w:hanging="3"/>
              <w:jc w:val="both"/>
              <w:rPr>
                <w:sz w:val="26"/>
                <w:szCs w:val="26"/>
              </w:rPr>
            </w:pPr>
          </w:p>
          <w:p w14:paraId="0FA66F98">
            <w:pPr>
              <w:spacing w:line="240" w:lineRule="auto"/>
              <w:ind w:left="1" w:hanging="3"/>
              <w:jc w:val="both"/>
              <w:rPr>
                <w:sz w:val="26"/>
                <w:szCs w:val="26"/>
              </w:rPr>
            </w:pPr>
          </w:p>
          <w:p w14:paraId="7F13D9AE">
            <w:pPr>
              <w:spacing w:line="240" w:lineRule="auto"/>
              <w:ind w:left="1" w:hanging="3"/>
              <w:jc w:val="both"/>
              <w:rPr>
                <w:sz w:val="26"/>
                <w:szCs w:val="26"/>
              </w:rPr>
            </w:pPr>
          </w:p>
          <w:p w14:paraId="3792E2A5">
            <w:pPr>
              <w:spacing w:line="240" w:lineRule="auto"/>
              <w:ind w:left="1" w:hanging="3"/>
              <w:jc w:val="both"/>
              <w:rPr>
                <w:sz w:val="26"/>
                <w:szCs w:val="26"/>
              </w:rPr>
            </w:pPr>
            <w:r>
              <w:rPr>
                <w:sz w:val="26"/>
                <w:szCs w:val="26"/>
              </w:rPr>
              <w:t>- Hoàn thành dịp 30/4/2025</w:t>
            </w:r>
          </w:p>
          <w:p w14:paraId="190DA64A">
            <w:pPr>
              <w:spacing w:line="240" w:lineRule="auto"/>
              <w:ind w:left="1" w:hanging="3"/>
              <w:jc w:val="both"/>
              <w:rPr>
                <w:sz w:val="26"/>
                <w:szCs w:val="26"/>
              </w:rPr>
            </w:pPr>
          </w:p>
          <w:p w14:paraId="3BB13043">
            <w:pPr>
              <w:spacing w:line="240" w:lineRule="auto"/>
              <w:ind w:left="1" w:hanging="3"/>
              <w:jc w:val="both"/>
              <w:rPr>
                <w:sz w:val="26"/>
                <w:szCs w:val="26"/>
              </w:rPr>
            </w:pPr>
          </w:p>
          <w:p w14:paraId="179549D7">
            <w:pPr>
              <w:spacing w:line="240" w:lineRule="auto"/>
              <w:ind w:left="1" w:hanging="3"/>
              <w:jc w:val="both"/>
              <w:rPr>
                <w:sz w:val="26"/>
                <w:szCs w:val="26"/>
              </w:rPr>
            </w:pPr>
          </w:p>
          <w:p w14:paraId="553E8C3B">
            <w:pPr>
              <w:spacing w:line="240" w:lineRule="auto"/>
              <w:ind w:left="1" w:hanging="3"/>
              <w:jc w:val="both"/>
              <w:rPr>
                <w:sz w:val="26"/>
                <w:szCs w:val="26"/>
              </w:rPr>
            </w:pPr>
          </w:p>
          <w:p w14:paraId="5B968614">
            <w:pPr>
              <w:spacing w:line="240" w:lineRule="auto"/>
              <w:ind w:left="1" w:hanging="3"/>
              <w:jc w:val="both"/>
              <w:rPr>
                <w:sz w:val="26"/>
                <w:szCs w:val="26"/>
              </w:rPr>
            </w:pPr>
          </w:p>
          <w:p w14:paraId="38A29485">
            <w:pPr>
              <w:spacing w:line="240" w:lineRule="auto"/>
              <w:ind w:left="1" w:hanging="3"/>
              <w:jc w:val="both"/>
              <w:rPr>
                <w:sz w:val="26"/>
                <w:szCs w:val="26"/>
              </w:rPr>
            </w:pPr>
          </w:p>
          <w:p w14:paraId="50287155">
            <w:pPr>
              <w:spacing w:line="240" w:lineRule="auto"/>
              <w:ind w:left="1" w:hanging="3"/>
              <w:jc w:val="both"/>
              <w:rPr>
                <w:sz w:val="26"/>
                <w:szCs w:val="26"/>
              </w:rPr>
            </w:pPr>
          </w:p>
          <w:p w14:paraId="3A909A81">
            <w:pPr>
              <w:spacing w:line="240" w:lineRule="auto"/>
              <w:ind w:left="1" w:hanging="3"/>
              <w:jc w:val="both"/>
              <w:rPr>
                <w:sz w:val="26"/>
                <w:szCs w:val="26"/>
              </w:rPr>
            </w:pPr>
          </w:p>
          <w:p w14:paraId="58840B6C">
            <w:pPr>
              <w:spacing w:line="240" w:lineRule="auto"/>
              <w:ind w:left="1" w:hanging="3"/>
              <w:jc w:val="both"/>
              <w:rPr>
                <w:sz w:val="26"/>
                <w:szCs w:val="26"/>
              </w:rPr>
            </w:pPr>
            <w:r>
              <w:rPr>
                <w:sz w:val="26"/>
                <w:szCs w:val="26"/>
              </w:rPr>
              <w:t>- Hoàn thành dịp 30/4/2025</w:t>
            </w:r>
          </w:p>
        </w:tc>
        <w:tc>
          <w:tcPr>
            <w:tcW w:w="4961" w:type="dxa"/>
            <w:vAlign w:val="center"/>
          </w:tcPr>
          <w:p w14:paraId="5CB70FCA">
            <w:pPr>
              <w:spacing w:line="240" w:lineRule="auto"/>
              <w:ind w:left="1" w:hanging="3"/>
              <w:jc w:val="both"/>
              <w:rPr>
                <w:sz w:val="26"/>
                <w:szCs w:val="26"/>
              </w:rPr>
            </w:pPr>
            <w:r>
              <w:rPr>
                <w:sz w:val="26"/>
                <w:szCs w:val="26"/>
              </w:rPr>
              <w:t>1. Chương trình sửa chữa nhà chung cư cũ trên địa bàn Thành phố:  Ủy ban nhân dân Thành phố đã chỉ đạo giao Sở Tài chính khẩn trương bố trí vốn chi thường xuyên tại mục 3.1 Thông báo số 242/TB-VP ngày 03 tháng 4 năm 2023, tại mục 4.2 Thông báo số 1051/TB-VP ngày 29 tháng 12 năm 2023 của Văn phòng Ủy ban nhân dân Thành phố. Sở Xây dựng đã có văn bản đôn đốc Sở Tài chính thực hiện (Công văn số 9764/SXD-TĐDA ngày 03 tháng 7 năm 2023, số 16062/SXD-TĐDA ngày 16 tháng 10 năm 2023, số 414/SXD-TĐDA ngày 15 tháng 01 năm 2024 của Sở Xây dựng). Tuy nhiên đến nay, Sở Tài chính vẫn chưa có ý kiến.</w:t>
            </w:r>
          </w:p>
          <w:p w14:paraId="75E5A540">
            <w:pPr>
              <w:spacing w:line="240" w:lineRule="auto"/>
              <w:ind w:left="1" w:hanging="3"/>
              <w:jc w:val="both"/>
              <w:rPr>
                <w:sz w:val="26"/>
                <w:szCs w:val="26"/>
              </w:rPr>
            </w:pPr>
            <w:r>
              <w:rPr>
                <w:sz w:val="26"/>
                <w:szCs w:val="26"/>
              </w:rPr>
              <w:t>-  Hiện nay, Thành phố đã tháo dỡ 05/14 chung cư, đạt tỷ lệ 36% với 15.482,5m2 sàn; chưa thực hiện tháo dỡ 09/14 chung cư, trong đó: Di dời toàn bộ 2/9 chung cư; di dời dở dang 05/9 chung cư; chưa di dời 02/9 chung cư .</w:t>
            </w:r>
          </w:p>
          <w:p w14:paraId="06018589">
            <w:pPr>
              <w:spacing w:line="240" w:lineRule="auto"/>
              <w:ind w:left="1" w:hanging="3"/>
              <w:jc w:val="both"/>
              <w:rPr>
                <w:sz w:val="26"/>
                <w:szCs w:val="26"/>
              </w:rPr>
            </w:pPr>
            <w:r>
              <w:rPr>
                <w:sz w:val="26"/>
                <w:szCs w:val="26"/>
              </w:rPr>
              <w:t>2. Chương trình Nhà ở xã hội trên địa bàn Thành phố:  Hoàn thành đưa vào sử dụng: 03/15 dự án nhà ở xã hội, với quy mô 865/12.000 căn; 01/15 dự án nhà lưu trú công nhân hoàn thành 1 phần, với quy mô: 368/12.000 căn. Đang thi công: 06 /15 dự án, với quy mô 4.386 căn (gồm 05 dự án nhà ở xã hội, 01 dự án nhà lưu trú công nhân). 06/15 dự án chưa được chấp thuận chủ trương đầu tư, với quy mô 6.054 căn (05 dự án nhà ở xã hội, 01 dự án nhà lưu trú công nhân). Trong đó:</w:t>
            </w:r>
          </w:p>
          <w:p w14:paraId="036C80DC">
            <w:pPr>
              <w:spacing w:line="240" w:lineRule="auto"/>
              <w:ind w:left="1" w:hanging="3"/>
              <w:jc w:val="both"/>
              <w:rPr>
                <w:sz w:val="26"/>
                <w:szCs w:val="26"/>
              </w:rPr>
            </w:pPr>
            <w:r>
              <w:rPr>
                <w:sz w:val="26"/>
                <w:szCs w:val="26"/>
              </w:rPr>
              <w:t>+ Dự kiến sử dụng vốn đầu tư công: 03/6 dự án nhà ở xã hội, với quy mô 3.630 căn.</w:t>
            </w:r>
          </w:p>
          <w:p w14:paraId="74983237">
            <w:pPr>
              <w:spacing w:line="240" w:lineRule="auto"/>
              <w:ind w:left="1" w:hanging="3"/>
              <w:jc w:val="both"/>
              <w:rPr>
                <w:sz w:val="26"/>
                <w:szCs w:val="26"/>
              </w:rPr>
            </w:pPr>
            <w:r>
              <w:rPr>
                <w:sz w:val="26"/>
                <w:szCs w:val="26"/>
              </w:rPr>
              <w:t>+ Sử dụng vốn doanh nghiệp: 03/6 dự án, với quy mô 2.424 căn (02 dự án nhà ở xã hội, 01 dự án nhà lưu trú công nhân).</w:t>
            </w:r>
          </w:p>
          <w:p w14:paraId="0DCB4DF6">
            <w:pPr>
              <w:spacing w:line="240" w:lineRule="auto"/>
              <w:ind w:left="1" w:hanging="3"/>
              <w:jc w:val="both"/>
              <w:rPr>
                <w:sz w:val="26"/>
                <w:szCs w:val="26"/>
              </w:rPr>
            </w:pPr>
            <w:r>
              <w:rPr>
                <w:sz w:val="26"/>
                <w:szCs w:val="26"/>
              </w:rPr>
              <w:t>3. Chương trình Di dời và tổ chức lại cuộc sống cho người dân đang sống ven và trên kênh rạch trên địa bàn Thành phố: Dự án đã được Ủy ban nhân dân Thành phố phê duyệt dự án Quyết định số 4584/QĐ-UBND ngày 06/10/2023, đang phối hợp với các cơ quan, đơn vị triển khai thực hiện.</w:t>
            </w:r>
          </w:p>
        </w:tc>
        <w:tc>
          <w:tcPr>
            <w:tcW w:w="992" w:type="dxa"/>
            <w:gridSpan w:val="2"/>
            <w:vAlign w:val="center"/>
          </w:tcPr>
          <w:p w14:paraId="4B7A9216">
            <w:pPr>
              <w:spacing w:line="240" w:lineRule="auto"/>
              <w:ind w:left="1" w:hanging="3"/>
              <w:jc w:val="center"/>
              <w:rPr>
                <w:sz w:val="26"/>
                <w:szCs w:val="26"/>
              </w:rPr>
            </w:pPr>
          </w:p>
        </w:tc>
      </w:tr>
      <w:tr w14:paraId="032DF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0338BF72">
            <w:pPr>
              <w:pStyle w:val="139"/>
              <w:numPr>
                <w:ilvl w:val="0"/>
                <w:numId w:val="1"/>
              </w:numPr>
              <w:spacing w:line="240" w:lineRule="auto"/>
              <w:ind w:leftChars="0" w:firstLineChars="0"/>
              <w:jc w:val="both"/>
              <w:rPr>
                <w:sz w:val="26"/>
                <w:szCs w:val="26"/>
              </w:rPr>
            </w:pPr>
          </w:p>
        </w:tc>
        <w:tc>
          <w:tcPr>
            <w:tcW w:w="1834" w:type="dxa"/>
            <w:vAlign w:val="center"/>
          </w:tcPr>
          <w:p w14:paraId="33152320">
            <w:pPr>
              <w:spacing w:line="240" w:lineRule="auto"/>
              <w:ind w:left="1" w:hanging="3"/>
              <w:jc w:val="both"/>
              <w:rPr>
                <w:sz w:val="26"/>
                <w:szCs w:val="26"/>
              </w:rPr>
            </w:pPr>
            <w:r>
              <w:rPr>
                <w:sz w:val="26"/>
                <w:szCs w:val="26"/>
              </w:rPr>
              <w:t>Chương trình phát triển công viên cây xanh</w:t>
            </w:r>
          </w:p>
        </w:tc>
        <w:tc>
          <w:tcPr>
            <w:tcW w:w="2351" w:type="dxa"/>
            <w:vAlign w:val="center"/>
          </w:tcPr>
          <w:p w14:paraId="4CF14AA2">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5FC908AF">
            <w:pPr>
              <w:spacing w:line="240" w:lineRule="auto"/>
              <w:ind w:left="1" w:hanging="3"/>
              <w:jc w:val="both"/>
              <w:rPr>
                <w:sz w:val="26"/>
                <w:szCs w:val="26"/>
              </w:rPr>
            </w:pPr>
            <w:r>
              <w:rPr>
                <w:sz w:val="26"/>
                <w:szCs w:val="26"/>
              </w:rPr>
              <w:t>- Đơn vị chủ trì: Sở Xây dựng</w:t>
            </w:r>
          </w:p>
        </w:tc>
        <w:tc>
          <w:tcPr>
            <w:tcW w:w="3178" w:type="dxa"/>
            <w:vAlign w:val="center"/>
          </w:tcPr>
          <w:p w14:paraId="3E5F07A1">
            <w:pPr>
              <w:spacing w:line="240" w:lineRule="auto"/>
              <w:ind w:left="1" w:hanging="3"/>
              <w:jc w:val="both"/>
              <w:rPr>
                <w:sz w:val="26"/>
                <w:szCs w:val="26"/>
              </w:rPr>
            </w:pPr>
            <w:r>
              <w:rPr>
                <w:sz w:val="26"/>
                <w:szCs w:val="26"/>
              </w:rPr>
              <w:t>Xây dựng công viên Thạnh Lộc tại phường Thạnh Lộc, Quận 12; Xây dựng công viên Tân Chánh Hiệp (khu ao cá Tân Chánh Hiệp) tại phường Tân Chánh Hiệp, Quận 12; Xây dựng công viên Tân Thạnh Tây (khu 2) tại xã Tân Thạnh Tây, huyện Củ Chi; Cải tạo công viên Khang Điền, Phường Phước Long B, thành phố Thủ Đức; Xây dựng công viên Hiệp Phú (I.43) tại phường Hiệp Phú, thành phố Thủ Đức; Xây dựng công viên Long Bình (I.CX1) tại phường Long Bình, thành phố Thủ Đức; Đầu tư Hạ tầng, trường học, công viên cây xanh trong phạm vi nghĩa trang Bình Hưng Hòa, quận Bình Tân (giai đoạn 3). Đến cuối năm 2025 tổng diện tích công viên tăng thêm 108,84 ha công viên.</w:t>
            </w:r>
          </w:p>
        </w:tc>
        <w:tc>
          <w:tcPr>
            <w:tcW w:w="1689" w:type="dxa"/>
            <w:vAlign w:val="center"/>
          </w:tcPr>
          <w:p w14:paraId="5EB46E19">
            <w:pPr>
              <w:spacing w:line="240" w:lineRule="auto"/>
              <w:ind w:left="1" w:hanging="3"/>
              <w:jc w:val="both"/>
              <w:rPr>
                <w:sz w:val="26"/>
                <w:szCs w:val="26"/>
              </w:rPr>
            </w:pPr>
            <w:r>
              <w:rPr>
                <w:sz w:val="26"/>
                <w:szCs w:val="26"/>
              </w:rPr>
              <w:t>Hoàn thành dịp 30/4/2025</w:t>
            </w:r>
          </w:p>
        </w:tc>
        <w:tc>
          <w:tcPr>
            <w:tcW w:w="4961" w:type="dxa"/>
            <w:vAlign w:val="center"/>
          </w:tcPr>
          <w:p w14:paraId="4AF0A147">
            <w:pPr>
              <w:spacing w:line="240" w:lineRule="auto"/>
              <w:ind w:left="1" w:hanging="3"/>
              <w:jc w:val="both"/>
              <w:rPr>
                <w:sz w:val="26"/>
                <w:szCs w:val="26"/>
              </w:rPr>
            </w:pPr>
            <w:r>
              <w:rPr>
                <w:sz w:val="26"/>
                <w:szCs w:val="26"/>
              </w:rPr>
              <w:t>Đạt 35,8% so với kế hoạch đến cuối năm 2025</w:t>
            </w:r>
          </w:p>
          <w:p w14:paraId="0C6805BA">
            <w:pPr>
              <w:spacing w:line="240" w:lineRule="auto"/>
              <w:ind w:left="1" w:hanging="3"/>
              <w:jc w:val="both"/>
              <w:rPr>
                <w:sz w:val="26"/>
                <w:szCs w:val="26"/>
              </w:rPr>
            </w:pPr>
            <w:r>
              <w:rPr>
                <w:sz w:val="26"/>
                <w:szCs w:val="26"/>
              </w:rPr>
              <w:t xml:space="preserve">1. Dự án Xây dựng công viên Thạnh Lộc tại phường Thạnh Lộc, Quận 12; Xây dựng công viên Tân Chánh Hiệp (khu ao cá Tân Chánh Hiệp) tại phường Tân Chánh Hiệp, Quận 12; Xây dựng công viên Tân Thạnh Tây (khu 2) tại xã Tân Thạnh Tây, huyện Củ Chi: Ủy ban nhân dân Thành phố đã chấp thuận chủ trương đầu tư và giao vốn chuẩn bị đầu tư năm 2023 đối với 03 dự án (Quyết định số 4848/QĐ-UBND ngày 28/10/2023) và giao vốn năm 2024 (Quyết định số 5975/QĐ-UBND ngày 27/12/2023). Hiện nay, đang tổ chức hoàn thiện Báo cáo nghiên cứu khả thi theo góp ý các sở, ngành và đề nghị của Sở Xây dựng, khi tổng mặt bằng được phê duyệt sẽ trình phê duyệt Báo cáo nghiên cứu khả thi của dự án theo quy định. Ban Quản lý dự án Hạ tầng kiến nghị quận, huyện rút ngắn thời gian thực hiện các thủ tục, sớm phê duyệt quy hoạch tổng mặt bằng của 03 dự án Xây dựng công viên để Ban Quản lý dự án Hạ tầng trình Sở Xây dựng phê duyệt. </w:t>
            </w:r>
          </w:p>
          <w:p w14:paraId="0DB05763">
            <w:pPr>
              <w:spacing w:line="240" w:lineRule="auto"/>
              <w:ind w:left="1" w:hanging="3"/>
              <w:jc w:val="both"/>
              <w:rPr>
                <w:sz w:val="26"/>
                <w:szCs w:val="26"/>
              </w:rPr>
            </w:pPr>
            <w:r>
              <w:rPr>
                <w:sz w:val="26"/>
                <w:szCs w:val="26"/>
              </w:rPr>
              <w:t>2. Công trình Cải tạo công viên Khang Điền, Phường Phước Long B, thành phố Thủ Đức; Xây dựng công viên Hiệp Phú (I.43) tại phường Hiệp Phú, thành phố Thủ Đức; Xây dựng công viên Long Bình (I.CX1) tại phường Long Bình, thành phố Thủ Đức:</w:t>
            </w:r>
          </w:p>
          <w:p w14:paraId="411527E3">
            <w:pPr>
              <w:spacing w:line="240" w:lineRule="auto"/>
              <w:ind w:left="1" w:hanging="3"/>
              <w:jc w:val="both"/>
              <w:rPr>
                <w:sz w:val="26"/>
                <w:szCs w:val="26"/>
              </w:rPr>
            </w:pPr>
            <w:r>
              <w:rPr>
                <w:sz w:val="26"/>
                <w:szCs w:val="26"/>
              </w:rPr>
              <w:t>- Dự án cải tạo công viên Khang Điền sẽ đảm bảo hoàn thành trong tháng 4 năm 2025.</w:t>
            </w:r>
          </w:p>
          <w:p w14:paraId="63A80EC6">
            <w:pPr>
              <w:spacing w:line="240" w:lineRule="auto"/>
              <w:ind w:left="1" w:hanging="3"/>
              <w:jc w:val="both"/>
              <w:rPr>
                <w:sz w:val="26"/>
                <w:szCs w:val="26"/>
              </w:rPr>
            </w:pPr>
            <w:r>
              <w:rPr>
                <w:sz w:val="26"/>
                <w:szCs w:val="26"/>
              </w:rPr>
              <w:t>- Dự án Xây dựng công viên Hiệp Phú (I.43) tại phường Hiệp Phú, thành phố Thủ Đức; Xây dựng công viên Long Bình (I.CX1) tại phường Long Bình, thành phố Thủ Đức: hoàn thành tháng 12 năm 2025. (Không đảm bảo tiến độ theo kế hoạch của Ủy ban nhân dân Thành phố).</w:t>
            </w:r>
          </w:p>
          <w:p w14:paraId="414B9D91">
            <w:pPr>
              <w:spacing w:line="240" w:lineRule="auto"/>
              <w:ind w:left="1" w:hanging="3"/>
              <w:jc w:val="both"/>
              <w:rPr>
                <w:sz w:val="26"/>
                <w:szCs w:val="26"/>
              </w:rPr>
            </w:pPr>
            <w:r>
              <w:rPr>
                <w:sz w:val="26"/>
                <w:szCs w:val="26"/>
              </w:rPr>
              <w:t>3. Công trình Xây dựng công viên Trung Lập Thượng tại xã Trung Lập Thượng, huyện Củ Chi: Sở Xây dựng đang phối với với Ban Quản lý dự án đầu tư xây dựng hạ tầng đô thị (Chủ đầu tư dự kiến) lập đề xuất chủ trương đầu tư trình Ủy ban nhân dân Thành phố. Tuy nhiên, do khu vực đã giải phóng mặt bằng có thể thực hiện dự án ngay chỉ được 8.959m²/57.741m² (chiếm khoảng 15,5% diện tích so với quy mô dự án theo quy hoạch) nên việc triển khai dự án có giải phòng mặt bằng sẽ khó đảm bảo được thời gian thực hiện theo Kế hoạch.</w:t>
            </w:r>
          </w:p>
          <w:p w14:paraId="0CE8A323">
            <w:pPr>
              <w:spacing w:line="240" w:lineRule="auto"/>
              <w:ind w:left="1" w:hanging="3"/>
              <w:jc w:val="both"/>
              <w:rPr>
                <w:sz w:val="26"/>
                <w:szCs w:val="26"/>
              </w:rPr>
            </w:pPr>
            <w:r>
              <w:rPr>
                <w:sz w:val="26"/>
                <w:szCs w:val="26"/>
              </w:rPr>
              <w:t>4. Dự án Đầu tư Hạ tầng, trường học, công viên cây xanh trong phạm vi nghĩa trang Bình Hưng Hòa, quận Bình Tân (giai đoạn 3): Hội đồng nhân dân Thành phố đã chấp thuận chủ trương đầu tư (Nghị Quyết số 56/NQ-HĐND ngày 12 tháng 7 năm 2023). Sở Xây dựng đã nhận được ý kiến của các đơn vị và đã có công văn gửi Chủ đầu tư hoàn thiện hồ sơ Báo cáo nghiên cứu khả thi theo quy định và ý kiến góp ý của các đơn vị. Đến nay, chủ đầu tư vẫn chưa trình lại Sở Xây dựng.</w:t>
            </w:r>
          </w:p>
          <w:p w14:paraId="53C738ED">
            <w:pPr>
              <w:spacing w:line="240" w:lineRule="auto"/>
              <w:ind w:left="1" w:hanging="3"/>
              <w:jc w:val="both"/>
              <w:rPr>
                <w:sz w:val="26"/>
                <w:szCs w:val="26"/>
              </w:rPr>
            </w:pPr>
            <w:r>
              <w:rPr>
                <w:sz w:val="26"/>
                <w:szCs w:val="26"/>
              </w:rPr>
              <w:t>5. Dự án Xây dựng công viên Phú Xuân, huyện Nhà Bè: Dự án đã được Hội đồng nhân dân huyện Nhà Bè thống nhất chủ trương đầu tư tại Nghị Quyết số 31/NQ-HĐND ngày 30/11/2023 và đã được Ủy ban nhân dân Thành phố giao vốn chuẩn bị đầu tư cho Ủy ban nhân dân huyện Nhà Bè tại Quyết định số 837/QĐ-UBND ngày 19/3/2024. Tuy nhiên, Ủy ban nhân dân huyện Nhà Bè chưa gửi báo cáo về tiến độ và kết quả thực hiện của các công trình trên.</w:t>
            </w:r>
          </w:p>
          <w:p w14:paraId="1CDFB351">
            <w:pPr>
              <w:spacing w:line="240" w:lineRule="auto"/>
              <w:ind w:left="1" w:hanging="3"/>
              <w:jc w:val="both"/>
              <w:rPr>
                <w:sz w:val="26"/>
                <w:szCs w:val="26"/>
              </w:rPr>
            </w:pPr>
            <w:r>
              <w:rPr>
                <w:sz w:val="26"/>
                <w:szCs w:val="26"/>
              </w:rPr>
              <w:t>6. Tiếp nhận đưa vào sử dụng đối với hạng mục công viên cây xanh của một số dự án khác với tổng diện tích là 1,5ha.</w:t>
            </w:r>
          </w:p>
          <w:p w14:paraId="4CEEEE63">
            <w:pPr>
              <w:spacing w:line="240" w:lineRule="auto"/>
              <w:ind w:left="1" w:hanging="3"/>
              <w:jc w:val="both"/>
              <w:rPr>
                <w:sz w:val="26"/>
                <w:szCs w:val="26"/>
              </w:rPr>
            </w:pPr>
            <w:r>
              <w:rPr>
                <w:sz w:val="26"/>
                <w:szCs w:val="26"/>
              </w:rPr>
              <w:t>7. Hoàn thành đưa vào sử dụng hạng mục cây xanh của dự án Xây dựng hạ tầng và cải tạo môi trường kênh Tham Lương - Bến Cát - Rạch Nước Lên: Dự án đang triển khai các gói thầu khác chưa thực hiện hạng mục công viên cây xanh. Đến nay, đã đạt 37% khối lượng dự án, dự kiến sẽ hoàn thành cả dự án trước ngày 30/4/2025.</w:t>
            </w:r>
          </w:p>
          <w:p w14:paraId="053C1C24">
            <w:pPr>
              <w:spacing w:line="240" w:lineRule="auto"/>
              <w:ind w:left="1" w:hanging="3"/>
              <w:jc w:val="both"/>
              <w:rPr>
                <w:sz w:val="26"/>
                <w:szCs w:val="26"/>
              </w:rPr>
            </w:pPr>
            <w:r>
              <w:rPr>
                <w:sz w:val="26"/>
                <w:szCs w:val="26"/>
              </w:rPr>
              <w:t>8. Đối với diện tích tăng thêm do tiếp nhận hệ thống hạ tầng từ các dự án Xây dựng khu dân cư: diện tích công viên cây xanh tăng thêm 15,7 ha: Ngày 15/4/2024, Sở Xây dựng đã có Công văn số 3155/SXD-HTKT báo cáo Ủy ban nhân dân Thành phố về tiến độ, khó khăn vướng mắc và đề xuất, kiến nghị theo các nội dung như trên. Ngày 29/4/2024, Ủy ban nhân dân Thành phố đã ban hành Công văn số 4638/VP-DA chỉ đạo các Sở, ngành, đơn vị liên quan thực hiện các nội dung theo đề xuất của Sở Xây dựng tại Công văn trên.</w:t>
            </w:r>
          </w:p>
        </w:tc>
        <w:tc>
          <w:tcPr>
            <w:tcW w:w="992" w:type="dxa"/>
            <w:gridSpan w:val="2"/>
            <w:vAlign w:val="center"/>
          </w:tcPr>
          <w:p w14:paraId="6E105230">
            <w:pPr>
              <w:spacing w:line="240" w:lineRule="auto"/>
              <w:ind w:left="1" w:hanging="3"/>
              <w:jc w:val="center"/>
              <w:rPr>
                <w:sz w:val="26"/>
                <w:szCs w:val="26"/>
              </w:rPr>
            </w:pPr>
          </w:p>
        </w:tc>
      </w:tr>
      <w:tr w14:paraId="5E22D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5387E78">
            <w:pPr>
              <w:pStyle w:val="139"/>
              <w:numPr>
                <w:ilvl w:val="0"/>
                <w:numId w:val="1"/>
              </w:numPr>
              <w:spacing w:line="240" w:lineRule="auto"/>
              <w:ind w:leftChars="0" w:firstLineChars="0"/>
              <w:jc w:val="both"/>
              <w:rPr>
                <w:sz w:val="26"/>
                <w:szCs w:val="26"/>
              </w:rPr>
            </w:pPr>
          </w:p>
        </w:tc>
        <w:tc>
          <w:tcPr>
            <w:tcW w:w="1834" w:type="dxa"/>
            <w:vAlign w:val="center"/>
          </w:tcPr>
          <w:p w14:paraId="33588748">
            <w:pPr>
              <w:spacing w:line="240" w:lineRule="auto"/>
              <w:ind w:left="1" w:hanging="3"/>
              <w:jc w:val="both"/>
              <w:rPr>
                <w:sz w:val="26"/>
                <w:szCs w:val="26"/>
              </w:rPr>
            </w:pPr>
            <w:r>
              <w:rPr>
                <w:sz w:val="26"/>
                <w:szCs w:val="26"/>
              </w:rPr>
              <w:t>Công trình “Sông Sài Gòn - Con sông của Thành phố tôi”</w:t>
            </w:r>
          </w:p>
        </w:tc>
        <w:tc>
          <w:tcPr>
            <w:tcW w:w="2351" w:type="dxa"/>
            <w:vAlign w:val="center"/>
          </w:tcPr>
          <w:p w14:paraId="664A9CC9">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576DBDBC">
            <w:pPr>
              <w:spacing w:line="240" w:lineRule="auto"/>
              <w:ind w:left="1" w:hanging="3"/>
              <w:jc w:val="both"/>
              <w:rPr>
                <w:sz w:val="26"/>
                <w:szCs w:val="26"/>
              </w:rPr>
            </w:pPr>
            <w:r>
              <w:rPr>
                <w:sz w:val="26"/>
                <w:szCs w:val="26"/>
              </w:rPr>
              <w:t>- Đơn vị thực hiện: Thành Đoàn</w:t>
            </w:r>
          </w:p>
        </w:tc>
        <w:tc>
          <w:tcPr>
            <w:tcW w:w="3178" w:type="dxa"/>
            <w:vAlign w:val="center"/>
          </w:tcPr>
          <w:p w14:paraId="2814B2A9">
            <w:pPr>
              <w:spacing w:line="240" w:lineRule="auto"/>
              <w:ind w:left="1" w:hanging="3"/>
              <w:jc w:val="both"/>
              <w:rPr>
                <w:sz w:val="26"/>
                <w:szCs w:val="26"/>
              </w:rPr>
            </w:pPr>
            <w:r>
              <w:rPr>
                <w:sz w:val="26"/>
                <w:szCs w:val="26"/>
              </w:rPr>
              <w:t>Giáo dục đoàn viên, thanh thiếu nhi Thành phố hiểu về lịch sử xây dựng và phát triển Thành phố Hồ Chí Minh các thời kỳ gắn liền với dòng sông Sài Gòn; Phát huy tinh thần tình nguyện của đoàn viên, thanh niên Thành phố thực hiện hiệu quả Công trình “Cải thiện môi trường cảnh quan sông Sài Gòn” hàng năm, qua đó lan tỏa ý thức bảo vệ môi trường.</w:t>
            </w:r>
          </w:p>
          <w:p w14:paraId="3D16BD4F">
            <w:pPr>
              <w:spacing w:line="240" w:lineRule="auto"/>
              <w:ind w:left="1" w:hanging="3"/>
              <w:jc w:val="both"/>
              <w:rPr>
                <w:sz w:val="26"/>
                <w:szCs w:val="26"/>
              </w:rPr>
            </w:pPr>
          </w:p>
        </w:tc>
        <w:tc>
          <w:tcPr>
            <w:tcW w:w="1689" w:type="dxa"/>
            <w:vAlign w:val="center"/>
          </w:tcPr>
          <w:p w14:paraId="2C695738">
            <w:pPr>
              <w:spacing w:line="240" w:lineRule="auto"/>
              <w:ind w:left="1" w:hanging="3"/>
              <w:jc w:val="both"/>
              <w:rPr>
                <w:sz w:val="26"/>
                <w:szCs w:val="26"/>
              </w:rPr>
            </w:pPr>
            <w:r>
              <w:rPr>
                <w:sz w:val="26"/>
                <w:szCs w:val="26"/>
              </w:rPr>
              <w:t>Hoàn thành dịp 30/4/2025</w:t>
            </w:r>
          </w:p>
        </w:tc>
        <w:tc>
          <w:tcPr>
            <w:tcW w:w="4961" w:type="dxa"/>
            <w:vAlign w:val="center"/>
          </w:tcPr>
          <w:p w14:paraId="6043B8D0">
            <w:pPr>
              <w:spacing w:line="240" w:lineRule="auto"/>
              <w:ind w:left="1" w:hanging="3"/>
              <w:jc w:val="both"/>
              <w:rPr>
                <w:sz w:val="26"/>
                <w:szCs w:val="26"/>
              </w:rPr>
            </w:pPr>
            <w:r>
              <w:rPr>
                <w:sz w:val="26"/>
                <w:szCs w:val="26"/>
              </w:rPr>
              <w:t>Đẩy mạnh công tác tuyên truyền, giáo dục đoàn viên, thanh thiếu nhi Thành phố hiểu về lịch sử xây dựng và phát triển Thành phố Hồ Chí Minh các thời kỳ gắn liền với dòng sông Sài Gòn. Bên cạnh đó, phát huy tinh thần tình nguyện của đoàn viên, thanh niên Thành phố thực hiện hiệu quả công trình “Cải thiện môi trường cảnh quan sông Sài Gòn” hàng năm, qua đó tuyên truyền và lan tỏa ý thức bảo vệ môi trường đến với đoàn viên, thanh thiếu nhi Thành phố.</w:t>
            </w:r>
          </w:p>
          <w:p w14:paraId="2115E99E">
            <w:pPr>
              <w:spacing w:line="240" w:lineRule="auto"/>
              <w:ind w:left="1" w:hanging="3"/>
              <w:jc w:val="both"/>
              <w:rPr>
                <w:sz w:val="26"/>
                <w:szCs w:val="26"/>
              </w:rPr>
            </w:pPr>
            <w:r>
              <w:rPr>
                <w:sz w:val="26"/>
                <w:szCs w:val="26"/>
              </w:rPr>
              <w:t>Hoàn thiện số hoá bản đồ điện tử “Sông Sài Gòn - Con sông Thành phố tôi” phục vụ việc tuyên truyền về các địa chỉ đỏ, di tích lịch sử, văn hoá dọc sông Sài Gòn; Hiện nay Ban Thường vụ Thành Đoàn đang triển khai thực hiện giai đoạn 2 và giai đoạn 3.</w:t>
            </w:r>
          </w:p>
        </w:tc>
        <w:tc>
          <w:tcPr>
            <w:tcW w:w="992" w:type="dxa"/>
            <w:gridSpan w:val="2"/>
            <w:vAlign w:val="center"/>
          </w:tcPr>
          <w:p w14:paraId="60B01502">
            <w:pPr>
              <w:spacing w:line="240" w:lineRule="auto"/>
              <w:ind w:left="1" w:hanging="3"/>
              <w:jc w:val="center"/>
              <w:rPr>
                <w:sz w:val="26"/>
                <w:szCs w:val="26"/>
              </w:rPr>
            </w:pPr>
          </w:p>
        </w:tc>
      </w:tr>
      <w:tr w14:paraId="1C703C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A0F17A9">
            <w:pPr>
              <w:pStyle w:val="139"/>
              <w:numPr>
                <w:ilvl w:val="0"/>
                <w:numId w:val="1"/>
              </w:numPr>
              <w:spacing w:line="240" w:lineRule="auto"/>
              <w:ind w:leftChars="0" w:firstLineChars="0"/>
              <w:jc w:val="both"/>
              <w:rPr>
                <w:sz w:val="26"/>
                <w:szCs w:val="26"/>
              </w:rPr>
            </w:pPr>
          </w:p>
        </w:tc>
        <w:tc>
          <w:tcPr>
            <w:tcW w:w="1834" w:type="dxa"/>
            <w:vAlign w:val="center"/>
          </w:tcPr>
          <w:p w14:paraId="300BA1EF">
            <w:pPr>
              <w:spacing w:line="240" w:lineRule="auto"/>
              <w:ind w:left="1" w:hanging="3"/>
              <w:jc w:val="both"/>
              <w:rPr>
                <w:sz w:val="26"/>
                <w:szCs w:val="26"/>
              </w:rPr>
            </w:pPr>
            <w:r>
              <w:rPr>
                <w:sz w:val="26"/>
                <w:szCs w:val="26"/>
              </w:rPr>
              <w:t>Công trình xây dựng phường, xã, thị trấn đạt tiêu chí “Phường, xã, thị trấn sạch, xanh và thân thiện môi trường” cấp quận, huyện; xây dựng khu dân cư sạch, xanh và thân thiện môi trường</w:t>
            </w:r>
          </w:p>
        </w:tc>
        <w:tc>
          <w:tcPr>
            <w:tcW w:w="2351" w:type="dxa"/>
            <w:vAlign w:val="center"/>
          </w:tcPr>
          <w:p w14:paraId="49502B42">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23987039">
            <w:pPr>
              <w:spacing w:line="240" w:lineRule="auto"/>
              <w:ind w:left="1" w:hanging="3"/>
              <w:jc w:val="both"/>
              <w:rPr>
                <w:sz w:val="26"/>
                <w:szCs w:val="26"/>
              </w:rPr>
            </w:pPr>
            <w:r>
              <w:rPr>
                <w:sz w:val="26"/>
                <w:szCs w:val="26"/>
              </w:rPr>
              <w:t>- Đơn vị thực hiện: Ủy ban MTTQ Việt Nam Thành phố</w:t>
            </w:r>
          </w:p>
        </w:tc>
        <w:tc>
          <w:tcPr>
            <w:tcW w:w="3178" w:type="dxa"/>
            <w:vAlign w:val="center"/>
          </w:tcPr>
          <w:p w14:paraId="2A160E1B">
            <w:pPr>
              <w:spacing w:line="240" w:lineRule="auto"/>
              <w:ind w:left="1" w:hanging="3"/>
              <w:jc w:val="both"/>
              <w:rPr>
                <w:sz w:val="26"/>
                <w:szCs w:val="26"/>
              </w:rPr>
            </w:pPr>
            <w:r>
              <w:rPr>
                <w:sz w:val="26"/>
                <w:szCs w:val="26"/>
              </w:rPr>
              <w:t>“85% phường, xã, thị trấn trên địa bàn thành phố đạt tiêu chí “Phường, xã, thị trấn sạch, xanh và thân thiện môi trường” cấp quận, huyện, thành phố Thủ Đức; 50 phường, xã, thị trấn đạt tiêu chí cấp Thành phố; 1.000 khu dân cư sạch, xanh và thân thiện môi trường”.</w:t>
            </w:r>
          </w:p>
        </w:tc>
        <w:tc>
          <w:tcPr>
            <w:tcW w:w="1689" w:type="dxa"/>
            <w:vAlign w:val="center"/>
          </w:tcPr>
          <w:p w14:paraId="2B27DBA8">
            <w:pPr>
              <w:spacing w:line="240" w:lineRule="auto"/>
              <w:ind w:left="1" w:hanging="3"/>
              <w:jc w:val="both"/>
              <w:rPr>
                <w:sz w:val="26"/>
                <w:szCs w:val="26"/>
              </w:rPr>
            </w:pPr>
            <w:r>
              <w:rPr>
                <w:sz w:val="26"/>
                <w:szCs w:val="26"/>
              </w:rPr>
              <w:t>Hoàn thành dịp 30/4/2025</w:t>
            </w:r>
          </w:p>
        </w:tc>
        <w:tc>
          <w:tcPr>
            <w:tcW w:w="4961" w:type="dxa"/>
            <w:vAlign w:val="center"/>
          </w:tcPr>
          <w:p w14:paraId="33227833">
            <w:pPr>
              <w:spacing w:line="240" w:lineRule="auto"/>
              <w:ind w:left="1" w:hanging="3"/>
              <w:jc w:val="both"/>
              <w:rPr>
                <w:sz w:val="26"/>
                <w:szCs w:val="26"/>
                <w:highlight w:val="white"/>
              </w:rPr>
            </w:pPr>
            <w:r>
              <w:rPr>
                <w:sz w:val="26"/>
                <w:szCs w:val="26"/>
                <w:highlight w:val="white"/>
              </w:rPr>
              <w:t>Tính đến nay, đã công nhận 1.722/1.000 khu dân cư sạch, xanh, thân thiện với môi trường, công nhận 264/312 (tỷ lệ 85%) phường, xã, thị trấn sạch, xanh và thân thiện với môi trường” cấp huyện; 233 khu dân cư Đoàn kết - Nghĩa tình - Tự quản.</w:t>
            </w:r>
          </w:p>
          <w:p w14:paraId="4C6A10E5">
            <w:pPr>
              <w:spacing w:line="240" w:lineRule="auto"/>
              <w:ind w:left="1" w:hanging="3"/>
              <w:jc w:val="both"/>
              <w:rPr>
                <w:sz w:val="26"/>
                <w:szCs w:val="26"/>
                <w:highlight w:val="white"/>
              </w:rPr>
            </w:pPr>
            <w:r>
              <w:rPr>
                <w:sz w:val="26"/>
                <w:szCs w:val="26"/>
                <w:highlight w:val="white"/>
              </w:rPr>
              <w:br w:type="textWrapping"/>
            </w:r>
            <w:r>
              <w:rPr>
                <w:sz w:val="26"/>
                <w:szCs w:val="26"/>
                <w:highlight w:val="white"/>
              </w:rPr>
              <w:t xml:space="preserve"> </w:t>
            </w:r>
          </w:p>
          <w:p w14:paraId="1C170F43">
            <w:pPr>
              <w:spacing w:line="240" w:lineRule="auto"/>
              <w:ind w:left="1" w:hanging="3"/>
              <w:jc w:val="center"/>
              <w:rPr>
                <w:sz w:val="26"/>
                <w:szCs w:val="26"/>
              </w:rPr>
            </w:pPr>
          </w:p>
        </w:tc>
        <w:tc>
          <w:tcPr>
            <w:tcW w:w="992" w:type="dxa"/>
            <w:gridSpan w:val="2"/>
            <w:vAlign w:val="center"/>
          </w:tcPr>
          <w:p w14:paraId="3BB150A9">
            <w:pPr>
              <w:spacing w:line="240" w:lineRule="auto"/>
              <w:ind w:left="1" w:hanging="3"/>
              <w:jc w:val="center"/>
              <w:rPr>
                <w:sz w:val="26"/>
                <w:szCs w:val="26"/>
              </w:rPr>
            </w:pPr>
          </w:p>
        </w:tc>
      </w:tr>
      <w:tr w14:paraId="58BEE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8D2F982">
            <w:pPr>
              <w:pStyle w:val="139"/>
              <w:numPr>
                <w:ilvl w:val="0"/>
                <w:numId w:val="1"/>
              </w:numPr>
              <w:spacing w:line="240" w:lineRule="auto"/>
              <w:ind w:leftChars="0" w:firstLineChars="0"/>
              <w:jc w:val="both"/>
              <w:rPr>
                <w:sz w:val="26"/>
                <w:szCs w:val="26"/>
              </w:rPr>
            </w:pPr>
          </w:p>
        </w:tc>
        <w:tc>
          <w:tcPr>
            <w:tcW w:w="1834" w:type="dxa"/>
            <w:vAlign w:val="center"/>
          </w:tcPr>
          <w:p w14:paraId="70BA9DDB">
            <w:pPr>
              <w:spacing w:line="240" w:lineRule="auto"/>
              <w:ind w:left="1" w:hanging="3"/>
              <w:jc w:val="both"/>
              <w:rPr>
                <w:sz w:val="26"/>
                <w:szCs w:val="26"/>
              </w:rPr>
            </w:pPr>
            <w:r>
              <w:rPr>
                <w:sz w:val="26"/>
                <w:szCs w:val="26"/>
              </w:rPr>
              <w:t>Các dự án Tuyến đường sắt đô thị số 1, số 2 Thành phố Hồ Chí Minh</w:t>
            </w:r>
          </w:p>
        </w:tc>
        <w:tc>
          <w:tcPr>
            <w:tcW w:w="2351" w:type="dxa"/>
            <w:vAlign w:val="center"/>
          </w:tcPr>
          <w:p w14:paraId="4246CC26">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3112B5BB">
            <w:pPr>
              <w:spacing w:line="240" w:lineRule="auto"/>
              <w:ind w:left="1" w:hanging="3"/>
              <w:jc w:val="both"/>
              <w:rPr>
                <w:sz w:val="26"/>
                <w:szCs w:val="26"/>
              </w:rPr>
            </w:pPr>
            <w:r>
              <w:rPr>
                <w:sz w:val="26"/>
                <w:szCs w:val="26"/>
              </w:rPr>
              <w:t xml:space="preserve">- Đơn vị thực hiện: Ban Quản lý </w:t>
            </w:r>
            <w:r>
              <w:rPr>
                <w:sz w:val="26"/>
                <w:szCs w:val="26"/>
              </w:rPr>
              <w:br w:type="textWrapping"/>
            </w:r>
            <w:r>
              <w:rPr>
                <w:sz w:val="26"/>
                <w:szCs w:val="26"/>
              </w:rPr>
              <w:t>đường sắt đô thị</w:t>
            </w:r>
          </w:p>
        </w:tc>
        <w:tc>
          <w:tcPr>
            <w:tcW w:w="3178" w:type="dxa"/>
            <w:vAlign w:val="center"/>
          </w:tcPr>
          <w:p w14:paraId="35D29E4D">
            <w:pPr>
              <w:spacing w:line="240" w:lineRule="auto"/>
              <w:ind w:left="1" w:hanging="3"/>
              <w:jc w:val="both"/>
              <w:rPr>
                <w:sz w:val="26"/>
                <w:szCs w:val="26"/>
              </w:rPr>
            </w:pPr>
            <w:r>
              <w:rPr>
                <w:sz w:val="26"/>
                <w:szCs w:val="26"/>
              </w:rPr>
              <w:t>- Dự án Tuyến đường sắt đô thị số 1 Thành phố Hồ Chí Minh, Bến Thành - Suối Tiên.</w:t>
            </w:r>
          </w:p>
          <w:p w14:paraId="6C0FC1DE">
            <w:pPr>
              <w:spacing w:line="240" w:lineRule="auto"/>
              <w:ind w:left="1" w:hanging="3"/>
              <w:jc w:val="both"/>
              <w:rPr>
                <w:sz w:val="26"/>
                <w:szCs w:val="26"/>
              </w:rPr>
            </w:pPr>
            <w:r>
              <w:rPr>
                <w:sz w:val="26"/>
                <w:szCs w:val="26"/>
              </w:rPr>
              <w:t>- Dự án Tuyến đường sắt đô thị số 2 Thành phố Hồ Chí Minh, giai đoạn 1 (Bến Thành - Tham Lương).</w:t>
            </w:r>
          </w:p>
        </w:tc>
        <w:tc>
          <w:tcPr>
            <w:tcW w:w="1689" w:type="dxa"/>
            <w:vAlign w:val="center"/>
          </w:tcPr>
          <w:p w14:paraId="338D4FF2">
            <w:pPr>
              <w:spacing w:line="240" w:lineRule="auto"/>
              <w:ind w:left="1" w:hanging="3"/>
              <w:jc w:val="both"/>
              <w:rPr>
                <w:sz w:val="26"/>
                <w:szCs w:val="26"/>
              </w:rPr>
            </w:pPr>
            <w:r>
              <w:rPr>
                <w:sz w:val="26"/>
                <w:szCs w:val="26"/>
              </w:rPr>
              <w:t>- Hoàn thành dịp 30/4/2025</w:t>
            </w:r>
          </w:p>
          <w:p w14:paraId="4F40B8C7">
            <w:pPr>
              <w:spacing w:line="240" w:lineRule="auto"/>
              <w:ind w:left="1" w:hanging="3"/>
              <w:jc w:val="both"/>
              <w:rPr>
                <w:sz w:val="26"/>
                <w:szCs w:val="26"/>
              </w:rPr>
            </w:pPr>
            <w:r>
              <w:rPr>
                <w:sz w:val="26"/>
                <w:szCs w:val="26"/>
              </w:rPr>
              <w:t>- Khởi công dịp</w:t>
            </w:r>
          </w:p>
          <w:p w14:paraId="00FD772C">
            <w:pPr>
              <w:spacing w:line="240" w:lineRule="auto"/>
              <w:ind w:left="1" w:hanging="3"/>
              <w:jc w:val="both"/>
              <w:rPr>
                <w:sz w:val="26"/>
                <w:szCs w:val="26"/>
              </w:rPr>
            </w:pPr>
            <w:r>
              <w:rPr>
                <w:sz w:val="26"/>
                <w:szCs w:val="26"/>
              </w:rPr>
              <w:t>30/4/2025</w:t>
            </w:r>
          </w:p>
        </w:tc>
        <w:tc>
          <w:tcPr>
            <w:tcW w:w="4961" w:type="dxa"/>
            <w:vAlign w:val="center"/>
          </w:tcPr>
          <w:p w14:paraId="16D19466">
            <w:pPr>
              <w:spacing w:line="240" w:lineRule="auto"/>
              <w:ind w:left="1" w:hanging="3"/>
              <w:jc w:val="both"/>
              <w:rPr>
                <w:sz w:val="26"/>
                <w:szCs w:val="26"/>
              </w:rPr>
            </w:pPr>
            <w:r>
              <w:rPr>
                <w:sz w:val="26"/>
                <w:szCs w:val="26"/>
              </w:rPr>
              <w:t xml:space="preserve">1. Dự án Tuyến đường sắt đô thị số 1 Thành phố Hồ Chí Minh, Bến Thành - Suối Tiên: </w:t>
            </w:r>
          </w:p>
          <w:p w14:paraId="0136D67D">
            <w:pPr>
              <w:spacing w:line="240" w:lineRule="auto"/>
              <w:ind w:left="1" w:hanging="3"/>
              <w:jc w:val="both"/>
              <w:rPr>
                <w:sz w:val="26"/>
                <w:szCs w:val="26"/>
              </w:rPr>
            </w:pPr>
            <w:r>
              <w:rPr>
                <w:sz w:val="26"/>
                <w:szCs w:val="26"/>
              </w:rPr>
              <w:t xml:space="preserve">- Tập trung tổ chức quản lý đúng tiến độ, chất lượng của hợp đồng các gói thầu chính thuộc dự án; đảm bảo tiến độ, kỹ thuật, chất lượng, an toàn với tổng khối lượng thực hiện toàn dự án lũy kế đạt 98,31%. Tiếp tục triển khai thi công cầu bộ shành trên cao (hoàn tất thực hiện gác dầm tại 07/09 ga, hoàn thiện kiến trúc 4 cầu bộ hành); thi công kết cấu và tiến hành hoàn thiện kiến trúc tòa nhà Văn phòng Công ty Vận hành và Bảo dưỡng. </w:t>
            </w:r>
          </w:p>
          <w:p w14:paraId="2FCF38B0">
            <w:pPr>
              <w:spacing w:line="240" w:lineRule="auto"/>
              <w:ind w:left="1" w:hanging="3"/>
              <w:jc w:val="both"/>
              <w:rPr>
                <w:sz w:val="26"/>
                <w:szCs w:val="26"/>
              </w:rPr>
            </w:pPr>
            <w:r>
              <w:rPr>
                <w:sz w:val="26"/>
                <w:szCs w:val="26"/>
              </w:rPr>
              <w:t>- Ngày 19 tháng 4 năm 2024, ký kết hợp đồng Gói thầu CP4 “Hệ thống công nghệ thông tin cho Văn phòng Công ty Vận hành và Bảo dưỡng”; đang thực hiện hợp đồng.</w:t>
            </w:r>
          </w:p>
          <w:p w14:paraId="3BBE8DC5">
            <w:pPr>
              <w:spacing w:line="240" w:lineRule="auto"/>
              <w:ind w:left="1" w:hanging="3"/>
              <w:jc w:val="both"/>
              <w:rPr>
                <w:sz w:val="26"/>
                <w:szCs w:val="26"/>
              </w:rPr>
            </w:pPr>
            <w:r>
              <w:rPr>
                <w:sz w:val="26"/>
                <w:szCs w:val="26"/>
              </w:rPr>
              <w:t>- Ngày 05 tháng 6 năm 2024, Ban Quản lý Đường sắt đô thị đã ký kết các Biên bản ghi nhớ để tiến hành nhận trước các phòng từ nhà thầu Liên danh Sumitomo - Cienco6 (gói thầu CP2) và thiết bị từ nhà thầu Hitachi (gói thầu CP3) để tiến hành ngay lập tức công tác đào tạo mô phỏng lái tàu và đào tạo vận hành hệ thống vé cho nhân viên của Công ty Trách nhiệm hữu hạn Một thành viên Đường sắt đô thị số 1 để kịp đáp ứng công việc khi Dự án đưa vào vận hành.</w:t>
            </w:r>
          </w:p>
          <w:p w14:paraId="18519363">
            <w:pPr>
              <w:spacing w:line="240" w:lineRule="auto"/>
              <w:ind w:left="1" w:hanging="3"/>
              <w:jc w:val="both"/>
              <w:rPr>
                <w:sz w:val="26"/>
                <w:szCs w:val="26"/>
              </w:rPr>
            </w:pPr>
            <w:r>
              <w:rPr>
                <w:sz w:val="26"/>
                <w:szCs w:val="26"/>
              </w:rPr>
              <w:t>- Tiếp tục thực hiện công tác nghiệm thu phòng cháy chữa cháy, đánh giá an toàn hệ thống, chuẩn bị nghiệm thu hoàn thành Dự án.</w:t>
            </w:r>
          </w:p>
          <w:p w14:paraId="0C90081F">
            <w:pPr>
              <w:spacing w:line="240" w:lineRule="auto"/>
              <w:ind w:left="1" w:hanging="3"/>
              <w:jc w:val="both"/>
              <w:rPr>
                <w:sz w:val="26"/>
                <w:szCs w:val="26"/>
              </w:rPr>
            </w:pPr>
            <w:r>
              <w:rPr>
                <w:sz w:val="26"/>
                <w:szCs w:val="26"/>
              </w:rPr>
              <w:t xml:space="preserve">2. Dự án Tuyến đường sắt đô thị số 2 Thành phố </w:t>
            </w:r>
            <w:r>
              <w:rPr>
                <w:spacing w:val="-14"/>
                <w:sz w:val="26"/>
                <w:szCs w:val="26"/>
              </w:rPr>
              <w:t>Hồ Chí Minh, giai đoạn 1 (Bến Thành - Tham Lương):</w:t>
            </w:r>
            <w:r>
              <w:rPr>
                <w:sz w:val="26"/>
                <w:szCs w:val="26"/>
              </w:rPr>
              <w:t xml:space="preserve"> </w:t>
            </w:r>
          </w:p>
          <w:p w14:paraId="0C9447DC">
            <w:pPr>
              <w:spacing w:line="240" w:lineRule="auto"/>
              <w:ind w:left="1" w:hanging="3"/>
              <w:jc w:val="both"/>
              <w:rPr>
                <w:sz w:val="26"/>
                <w:szCs w:val="26"/>
              </w:rPr>
            </w:pPr>
            <w:r>
              <w:rPr>
                <w:sz w:val="26"/>
                <w:szCs w:val="26"/>
              </w:rPr>
              <w:t xml:space="preserve">- Các quận đã cơ bản hoàn tất thủ tục ban hành Quyết định thu hồi đất đạt 100%. Tỷ lệ bàn giao mặt bằng đạt 96,92% (567/585 trường hợp). </w:t>
            </w:r>
          </w:p>
          <w:p w14:paraId="2F95780C">
            <w:pPr>
              <w:spacing w:line="240" w:lineRule="auto"/>
              <w:ind w:left="1" w:hanging="3"/>
              <w:jc w:val="both"/>
              <w:rPr>
                <w:sz w:val="26"/>
                <w:szCs w:val="26"/>
              </w:rPr>
            </w:pPr>
            <w:r>
              <w:rPr>
                <w:sz w:val="26"/>
                <w:szCs w:val="26"/>
              </w:rPr>
              <w:t>- Di dời hạ tầng kỹ thuật: Tiếp tục thi công hạng mục công trình điện; cấp nước; thoát nước, biển báo, chiếu sáng, đèn tín hiệu giao thông; các quận có liên quan đang tiến hành công tác xử lý, di dời cây xanh để bàn giao mặt bằng thi công di dời hạ tầng kỹ thuật.</w:t>
            </w:r>
          </w:p>
        </w:tc>
        <w:tc>
          <w:tcPr>
            <w:tcW w:w="992" w:type="dxa"/>
            <w:gridSpan w:val="2"/>
            <w:vAlign w:val="center"/>
          </w:tcPr>
          <w:p w14:paraId="142B35E2">
            <w:pPr>
              <w:spacing w:line="240" w:lineRule="auto"/>
              <w:ind w:left="1" w:hanging="3"/>
              <w:jc w:val="center"/>
              <w:rPr>
                <w:sz w:val="26"/>
                <w:szCs w:val="26"/>
              </w:rPr>
            </w:pPr>
          </w:p>
        </w:tc>
      </w:tr>
      <w:tr w14:paraId="0764A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4" w:hRule="atLeast"/>
        </w:trPr>
        <w:tc>
          <w:tcPr>
            <w:tcW w:w="855" w:type="dxa"/>
            <w:vAlign w:val="center"/>
          </w:tcPr>
          <w:p w14:paraId="2F39200E">
            <w:pPr>
              <w:pStyle w:val="139"/>
              <w:numPr>
                <w:ilvl w:val="0"/>
                <w:numId w:val="1"/>
              </w:numPr>
              <w:spacing w:line="240" w:lineRule="auto"/>
              <w:ind w:leftChars="0" w:firstLineChars="0"/>
              <w:jc w:val="both"/>
              <w:rPr>
                <w:sz w:val="26"/>
                <w:szCs w:val="26"/>
              </w:rPr>
            </w:pPr>
          </w:p>
        </w:tc>
        <w:tc>
          <w:tcPr>
            <w:tcW w:w="1834" w:type="dxa"/>
            <w:vAlign w:val="center"/>
          </w:tcPr>
          <w:p w14:paraId="3D8F8417">
            <w:pPr>
              <w:spacing w:line="240" w:lineRule="auto"/>
              <w:ind w:left="1" w:hanging="3"/>
              <w:jc w:val="both"/>
              <w:rPr>
                <w:sz w:val="26"/>
                <w:szCs w:val="26"/>
              </w:rPr>
            </w:pPr>
            <w:r>
              <w:rPr>
                <w:sz w:val="26"/>
                <w:szCs w:val="26"/>
              </w:rPr>
              <w:t>Đề án phát triển hệ thống đường sắt đô thị Thành phố Hồ Chí Minh theo Kết luận số 49-KL/TW của Bộ Chính trị về định hướng phát triển giao thông vận tải đường sắt Việt Nam đến năm 2030, tầm nhìn đến năm 2045</w:t>
            </w:r>
          </w:p>
        </w:tc>
        <w:tc>
          <w:tcPr>
            <w:tcW w:w="2351" w:type="dxa"/>
            <w:vAlign w:val="center"/>
          </w:tcPr>
          <w:p w14:paraId="45CB3960">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2064FB9B">
            <w:pPr>
              <w:spacing w:line="240" w:lineRule="auto"/>
              <w:ind w:left="1" w:hanging="3"/>
              <w:jc w:val="both"/>
              <w:rPr>
                <w:sz w:val="26"/>
                <w:szCs w:val="26"/>
              </w:rPr>
            </w:pPr>
            <w:r>
              <w:rPr>
                <w:sz w:val="26"/>
                <w:szCs w:val="26"/>
              </w:rPr>
              <w:t xml:space="preserve">- Đơn vị thực hiện: Sở Giao thông </w:t>
            </w:r>
            <w:r>
              <w:rPr>
                <w:sz w:val="26"/>
                <w:szCs w:val="26"/>
              </w:rPr>
              <w:br w:type="textWrapping"/>
            </w:r>
            <w:r>
              <w:rPr>
                <w:sz w:val="26"/>
                <w:szCs w:val="26"/>
              </w:rPr>
              <w:t>vận tải</w:t>
            </w:r>
          </w:p>
        </w:tc>
        <w:tc>
          <w:tcPr>
            <w:tcW w:w="3178" w:type="dxa"/>
            <w:vAlign w:val="center"/>
          </w:tcPr>
          <w:p w14:paraId="5D153A14">
            <w:pPr>
              <w:spacing w:line="240" w:lineRule="auto"/>
              <w:ind w:left="1" w:hanging="3"/>
              <w:jc w:val="both"/>
              <w:rPr>
                <w:sz w:val="26"/>
                <w:szCs w:val="26"/>
              </w:rPr>
            </w:pPr>
            <w:r>
              <w:rPr>
                <w:sz w:val="26"/>
                <w:szCs w:val="26"/>
              </w:rPr>
              <w:t>Xây dựng Đề án phát triển hệ thống ĐSĐT Thành phố Hồ Chí Minh theo Kết luận số 49/KL-TW của Bộ Chính trị để tổng kết tình hình triển khai đầu tư hệ thống ĐSĐT thời gian qua, làm cơ sở đề xuất định hướng phát triển, xây dựng lộ trình, Kế hoạch, hình thức đầu tư, phương án huy động nguồn vốn và các cơ chế, chính sách đặc thù để đẩy nhanh thủ tục chuẩn bị đầu tư, thực hiện đầu tư phát triển mạng lưới ĐSĐT Thành phố Hồ Chí Minh nhằm hiện thực hóa Kết luận số 49-KL/TW ngày 28 tháng 02 năm 2023 của Bộ Chính trị về định hướng phát triển giao thông vận tải đường sắt Việt Nam đến năm 2030, tầm nhìn đến năm 2045, trong đó xác định mục tiêu: Hoàn chỉnh mạng lưới ĐSĐT tại Thành phố Hồ Chí Minh vào năm 2035.</w:t>
            </w:r>
          </w:p>
        </w:tc>
        <w:tc>
          <w:tcPr>
            <w:tcW w:w="1689" w:type="dxa"/>
            <w:vAlign w:val="center"/>
          </w:tcPr>
          <w:p w14:paraId="12620A21">
            <w:pPr>
              <w:spacing w:line="240" w:lineRule="auto"/>
              <w:ind w:left="1" w:hanging="3"/>
              <w:jc w:val="both"/>
              <w:rPr>
                <w:sz w:val="26"/>
                <w:szCs w:val="26"/>
              </w:rPr>
            </w:pPr>
            <w:r>
              <w:rPr>
                <w:sz w:val="26"/>
                <w:szCs w:val="26"/>
                <w:highlight w:val="white"/>
              </w:rPr>
              <w:t>Hoàn thành trình Bộ Chính trị thông qua quý IV năm 2024</w:t>
            </w:r>
          </w:p>
        </w:tc>
        <w:tc>
          <w:tcPr>
            <w:tcW w:w="4961" w:type="dxa"/>
            <w:vAlign w:val="center"/>
          </w:tcPr>
          <w:p w14:paraId="562B46F0">
            <w:pPr>
              <w:spacing w:line="240" w:lineRule="auto"/>
              <w:ind w:left="1" w:hanging="3"/>
              <w:jc w:val="both"/>
              <w:rPr>
                <w:sz w:val="26"/>
                <w:szCs w:val="26"/>
              </w:rPr>
            </w:pPr>
            <w:r>
              <w:rPr>
                <w:sz w:val="26"/>
                <w:szCs w:val="26"/>
              </w:rPr>
              <w:t>- Đề án đã được Ủy ban nhân dân Thành phố báo cáo Ban cán sự đảng Ủy ban nhân dân Thành phố, trình Ban Thường vụ Thành ủy cho ý kiến thống nhất, thông qua báo cáo Ban Chấp hành Đảng bộ Thành phố thông qua tại Hội nghị lần thứ 31 Ban Chấp hành Đảng bộ Thành phố khóa XI (mở rộng). Đồng thời, Ủy ban nhân dân Thành phố cũng đã báo cáo Hội đồng nhân dân Thành phố và Hội đồng nhân dân Thành phố đã có ý kiến thống nhất các nội dung cơ bản của Đề án để trình cấp thẩm quyền xem xét, quyết định.</w:t>
            </w:r>
          </w:p>
          <w:p w14:paraId="554D52CE">
            <w:pPr>
              <w:spacing w:line="240" w:lineRule="auto"/>
              <w:ind w:left="1" w:hanging="3"/>
              <w:jc w:val="both"/>
              <w:rPr>
                <w:sz w:val="26"/>
                <w:szCs w:val="26"/>
              </w:rPr>
            </w:pPr>
            <w:r>
              <w:rPr>
                <w:sz w:val="26"/>
                <w:szCs w:val="26"/>
              </w:rPr>
              <w:t>- Đồng thời, Bộ Giao thông vận tải (cơ quan được Ban cán sự đảng Chính phủ giao nhiệm vụ tổng hợp Đề án của 02 Thành phố trình cấp thẩm quyền) cũng đã tổ chức lấy ý kiến của các cơ quan Trung ương (Ban Kinh tế Trung ương), các Ủy ban của Quốc hội (Ủy ban ngân sách Quốc hội, Ủy ban Khoa học và Công nghệ Quốc hội), các Bộ, ngành liên quan.</w:t>
            </w:r>
          </w:p>
          <w:p w14:paraId="126E9F13">
            <w:pPr>
              <w:spacing w:line="240" w:lineRule="auto"/>
              <w:ind w:left="1" w:hanging="3"/>
              <w:jc w:val="both"/>
              <w:rPr>
                <w:sz w:val="26"/>
                <w:szCs w:val="26"/>
                <w:highlight w:val="white"/>
              </w:rPr>
            </w:pPr>
            <w:r>
              <w:rPr>
                <w:sz w:val="26"/>
                <w:szCs w:val="26"/>
                <w:highlight w:val="white"/>
              </w:rPr>
              <w:t>- Hiện nay, Bộ Giao thông vận tải đã tổng hợp đề án của 02 Thành phố (Hà Nội và Hồ Chí Minh) trình Phó tướng Chính phủ, dự kiến báo cáo Thường trực Chính phủ trong tháng 9 năm 2024, vào báo cáo Bộ Chính trị vào Quý III năm 2024.</w:t>
            </w:r>
          </w:p>
        </w:tc>
        <w:tc>
          <w:tcPr>
            <w:tcW w:w="992" w:type="dxa"/>
            <w:gridSpan w:val="2"/>
            <w:vAlign w:val="center"/>
          </w:tcPr>
          <w:p w14:paraId="38D96781">
            <w:pPr>
              <w:spacing w:line="240" w:lineRule="auto"/>
              <w:ind w:left="1" w:hanging="3"/>
              <w:jc w:val="center"/>
              <w:rPr>
                <w:sz w:val="26"/>
                <w:szCs w:val="26"/>
              </w:rPr>
            </w:pPr>
          </w:p>
        </w:tc>
      </w:tr>
      <w:tr w14:paraId="68F43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3AFEADD4">
            <w:pPr>
              <w:pStyle w:val="139"/>
              <w:numPr>
                <w:ilvl w:val="0"/>
                <w:numId w:val="1"/>
              </w:numPr>
              <w:spacing w:line="240" w:lineRule="auto"/>
              <w:ind w:leftChars="0" w:firstLineChars="0"/>
              <w:jc w:val="both"/>
              <w:rPr>
                <w:sz w:val="26"/>
                <w:szCs w:val="26"/>
              </w:rPr>
            </w:pPr>
          </w:p>
        </w:tc>
        <w:tc>
          <w:tcPr>
            <w:tcW w:w="1834" w:type="dxa"/>
            <w:vAlign w:val="center"/>
          </w:tcPr>
          <w:p w14:paraId="575F71C9">
            <w:pPr>
              <w:spacing w:line="240" w:lineRule="auto"/>
              <w:ind w:left="1" w:hanging="3"/>
              <w:jc w:val="both"/>
              <w:rPr>
                <w:sz w:val="26"/>
                <w:szCs w:val="26"/>
              </w:rPr>
            </w:pPr>
            <w:r>
              <w:rPr>
                <w:sz w:val="26"/>
                <w:szCs w:val="26"/>
              </w:rPr>
              <w:t>Dự án nút giao An Phú, Mỹ Thủy</w:t>
            </w:r>
          </w:p>
        </w:tc>
        <w:tc>
          <w:tcPr>
            <w:tcW w:w="2351" w:type="dxa"/>
            <w:vAlign w:val="center"/>
          </w:tcPr>
          <w:p w14:paraId="039D08B6">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3A63D5AE">
            <w:pPr>
              <w:spacing w:line="240" w:lineRule="auto"/>
              <w:ind w:left="1" w:hanging="3"/>
              <w:jc w:val="both"/>
              <w:rPr>
                <w:sz w:val="26"/>
                <w:szCs w:val="26"/>
              </w:rPr>
            </w:pPr>
            <w:r>
              <w:rPr>
                <w:sz w:val="26"/>
                <w:szCs w:val="26"/>
              </w:rPr>
              <w:t xml:space="preserve">- Đơn vị chủ trì: Ban Quản lý </w:t>
            </w:r>
            <w:r>
              <w:rPr>
                <w:sz w:val="26"/>
                <w:szCs w:val="26"/>
              </w:rPr>
              <w:br w:type="textWrapping"/>
            </w:r>
            <w:r>
              <w:rPr>
                <w:sz w:val="26"/>
                <w:szCs w:val="26"/>
              </w:rPr>
              <w:t xml:space="preserve">dự án ĐTXD </w:t>
            </w:r>
            <w:r>
              <w:rPr>
                <w:sz w:val="26"/>
                <w:szCs w:val="26"/>
              </w:rPr>
              <w:br w:type="textWrapping"/>
            </w:r>
            <w:r>
              <w:rPr>
                <w:sz w:val="26"/>
                <w:szCs w:val="26"/>
              </w:rPr>
              <w:t>các CTGT</w:t>
            </w:r>
          </w:p>
        </w:tc>
        <w:tc>
          <w:tcPr>
            <w:tcW w:w="3178" w:type="dxa"/>
            <w:vAlign w:val="center"/>
          </w:tcPr>
          <w:p w14:paraId="23094A75">
            <w:pPr>
              <w:spacing w:line="240" w:lineRule="auto"/>
              <w:ind w:left="1" w:hanging="3"/>
              <w:jc w:val="both"/>
              <w:rPr>
                <w:sz w:val="26"/>
                <w:szCs w:val="26"/>
              </w:rPr>
            </w:pPr>
            <w:r>
              <w:rPr>
                <w:sz w:val="26"/>
                <w:szCs w:val="26"/>
              </w:rPr>
              <w:t>Góp phần nâng cao năng lực thông hành, giải quyết ùn tắc giao thông; tăng cường khả năng vận tải hàng hóa, tăng cường khả năng kết nối vùng với các tỉnh Đồng Nai, Bà Rịa - Vũng Tàu; đặc biệt khi Cảng hàng không Quốc tế Long Thành đưa vào khai thác vào năm 2025.</w:t>
            </w:r>
          </w:p>
        </w:tc>
        <w:tc>
          <w:tcPr>
            <w:tcW w:w="1689" w:type="dxa"/>
            <w:vAlign w:val="center"/>
          </w:tcPr>
          <w:p w14:paraId="367A209A">
            <w:pPr>
              <w:spacing w:line="240" w:lineRule="auto"/>
              <w:ind w:left="1" w:hanging="3"/>
              <w:jc w:val="both"/>
              <w:rPr>
                <w:sz w:val="26"/>
                <w:szCs w:val="26"/>
              </w:rPr>
            </w:pPr>
            <w:r>
              <w:rPr>
                <w:sz w:val="26"/>
                <w:szCs w:val="26"/>
              </w:rPr>
              <w:t>Hoàn thành trong năm 2025</w:t>
            </w:r>
          </w:p>
        </w:tc>
        <w:tc>
          <w:tcPr>
            <w:tcW w:w="4961" w:type="dxa"/>
            <w:vAlign w:val="center"/>
          </w:tcPr>
          <w:p w14:paraId="06419355">
            <w:pPr>
              <w:spacing w:line="240" w:lineRule="auto"/>
              <w:ind w:left="1" w:hanging="3"/>
              <w:jc w:val="both"/>
              <w:rPr>
                <w:sz w:val="26"/>
                <w:szCs w:val="26"/>
              </w:rPr>
            </w:pPr>
            <w:r>
              <w:rPr>
                <w:sz w:val="26"/>
                <w:szCs w:val="26"/>
              </w:rPr>
              <w:t>- Nút giao An Phú: thi công đạt khoảng 40% khối lượng, do vướng mặt bằng nên khả năng khó hoàn thành dự án vào 30 tháng 4 năm 2025, mà chỉ hoàn thành các gói thầu hầm chui HC1, HC2, Cầu Giồng Ông Tố, Cầu Bà Dạt, hoàn thành toàn bộ công trình vào năm 2025.</w:t>
            </w:r>
          </w:p>
          <w:p w14:paraId="1CBDE020">
            <w:pPr>
              <w:spacing w:line="240" w:lineRule="auto"/>
              <w:ind w:left="1" w:hanging="3"/>
              <w:jc w:val="both"/>
              <w:rPr>
                <w:sz w:val="26"/>
                <w:szCs w:val="26"/>
              </w:rPr>
            </w:pPr>
            <w:r>
              <w:rPr>
                <w:sz w:val="26"/>
                <w:szCs w:val="26"/>
              </w:rPr>
              <w:t>- Nút giao Mỹ Thủy: thi công đạt khoảng 45% khối lượng, do vướng mặt bằng nên khả năng khó hoàn thành toàn bộ dự án vào 30 tháng 4 năm 2025 mà chỉ hoàn thành gói thầu Kỳ Hà 4 và các tuyến đường chui giai đoạn 1, hoàn thành toàn bộ công trình vào năm 2025.</w:t>
            </w:r>
          </w:p>
        </w:tc>
        <w:tc>
          <w:tcPr>
            <w:tcW w:w="992" w:type="dxa"/>
            <w:gridSpan w:val="2"/>
            <w:vAlign w:val="center"/>
          </w:tcPr>
          <w:p w14:paraId="3B4BE09A">
            <w:pPr>
              <w:spacing w:line="240" w:lineRule="auto"/>
              <w:ind w:left="1" w:hanging="3"/>
              <w:jc w:val="center"/>
              <w:rPr>
                <w:sz w:val="26"/>
                <w:szCs w:val="26"/>
              </w:rPr>
            </w:pPr>
          </w:p>
        </w:tc>
      </w:tr>
      <w:tr w14:paraId="433F4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C033019">
            <w:pPr>
              <w:pStyle w:val="139"/>
              <w:numPr>
                <w:ilvl w:val="0"/>
                <w:numId w:val="1"/>
              </w:numPr>
              <w:spacing w:line="240" w:lineRule="auto"/>
              <w:ind w:leftChars="0" w:firstLineChars="0"/>
              <w:jc w:val="both"/>
              <w:rPr>
                <w:sz w:val="26"/>
                <w:szCs w:val="26"/>
              </w:rPr>
            </w:pPr>
          </w:p>
        </w:tc>
        <w:tc>
          <w:tcPr>
            <w:tcW w:w="1834" w:type="dxa"/>
            <w:vAlign w:val="center"/>
          </w:tcPr>
          <w:p w14:paraId="21592B2A">
            <w:pPr>
              <w:spacing w:line="240" w:lineRule="auto"/>
              <w:ind w:left="1" w:hanging="3"/>
              <w:jc w:val="both"/>
              <w:rPr>
                <w:sz w:val="26"/>
                <w:szCs w:val="26"/>
              </w:rPr>
            </w:pPr>
            <w:r>
              <w:rPr>
                <w:sz w:val="26"/>
                <w:szCs w:val="26"/>
              </w:rPr>
              <w:t>Dự án Đầu tư xây dựng đường cao tốc Thành phố Hồ Chí Minh - Mộc Bài</w:t>
            </w:r>
          </w:p>
        </w:tc>
        <w:tc>
          <w:tcPr>
            <w:tcW w:w="2351" w:type="dxa"/>
            <w:vAlign w:val="center"/>
          </w:tcPr>
          <w:p w14:paraId="74D9BC4D">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6019D234">
            <w:pPr>
              <w:spacing w:line="240" w:lineRule="auto"/>
              <w:ind w:left="1" w:hanging="3"/>
              <w:jc w:val="both"/>
              <w:rPr>
                <w:sz w:val="26"/>
                <w:szCs w:val="26"/>
              </w:rPr>
            </w:pPr>
            <w:r>
              <w:rPr>
                <w:sz w:val="26"/>
                <w:szCs w:val="26"/>
              </w:rPr>
              <w:t>- Đơn vị chủ trì: Ban Quản lý dự án ĐTXD các CTGT</w:t>
            </w:r>
          </w:p>
        </w:tc>
        <w:tc>
          <w:tcPr>
            <w:tcW w:w="3178" w:type="dxa"/>
            <w:vAlign w:val="center"/>
          </w:tcPr>
          <w:p w14:paraId="59A1F506">
            <w:pPr>
              <w:spacing w:line="240" w:lineRule="auto"/>
              <w:ind w:left="1" w:hanging="3"/>
              <w:jc w:val="both"/>
              <w:rPr>
                <w:sz w:val="26"/>
                <w:szCs w:val="26"/>
              </w:rPr>
            </w:pPr>
            <w:r>
              <w:rPr>
                <w:sz w:val="26"/>
                <w:szCs w:val="26"/>
              </w:rPr>
              <w:t>Có ý nghĩa và vai trò rất quan trọng trong sự phát triển kinh tế - xã hội của vùng nói chung, của tỉnh Tây Ninh và Thành phố Hồ Chí Minh nói riêng; phục vụ phát triển chuỗi công nghiệp - đô thị Mộc Bài - Thành phố Hồ Chí Minh - cảng Cái Mép - Thị Vải gắn với hành lang kinh tế Xuyên Á; đồng thời tạo điều kiện phát triển các khu công nghiệp, khu chế xuất dọc tuyến, đặc biệt là Khu Kinh tế cửa khẩu Mộc Bài,..</w:t>
            </w:r>
          </w:p>
        </w:tc>
        <w:tc>
          <w:tcPr>
            <w:tcW w:w="1689" w:type="dxa"/>
            <w:vAlign w:val="center"/>
          </w:tcPr>
          <w:p w14:paraId="3541C2BE">
            <w:pPr>
              <w:spacing w:line="240" w:lineRule="auto"/>
              <w:ind w:left="1" w:hanging="3"/>
              <w:jc w:val="both"/>
              <w:rPr>
                <w:sz w:val="26"/>
                <w:szCs w:val="26"/>
              </w:rPr>
            </w:pPr>
            <w:r>
              <w:rPr>
                <w:sz w:val="26"/>
                <w:szCs w:val="26"/>
              </w:rPr>
              <w:t>Khởi công gói thầu xây dựng cầu vượt, cầu trong nút giao</w:t>
            </w:r>
          </w:p>
          <w:p w14:paraId="36D8CB84">
            <w:pPr>
              <w:spacing w:line="240" w:lineRule="auto"/>
              <w:ind w:left="1" w:hanging="3"/>
              <w:jc w:val="both"/>
              <w:rPr>
                <w:sz w:val="26"/>
                <w:szCs w:val="26"/>
              </w:rPr>
            </w:pPr>
            <w:r>
              <w:rPr>
                <w:sz w:val="26"/>
                <w:szCs w:val="26"/>
              </w:rPr>
              <w:t>dịp 30/4/2025</w:t>
            </w:r>
          </w:p>
        </w:tc>
        <w:tc>
          <w:tcPr>
            <w:tcW w:w="4961" w:type="dxa"/>
            <w:vAlign w:val="center"/>
          </w:tcPr>
          <w:p w14:paraId="36044E49">
            <w:pPr>
              <w:spacing w:line="240" w:lineRule="auto"/>
              <w:ind w:left="1" w:hanging="3"/>
              <w:jc w:val="both"/>
              <w:rPr>
                <w:sz w:val="26"/>
                <w:szCs w:val="26"/>
              </w:rPr>
            </w:pPr>
            <w:r>
              <w:rPr>
                <w:sz w:val="26"/>
                <w:szCs w:val="26"/>
              </w:rPr>
              <w:t>- Tham mưu Ủy ban nhân dân Thành phố ban hành Công văn số 86/UBND-DA ngày 08 tháng 01 năm 2024 gửi Bộ Kế hoạch và Đầu tư thẩm định báo cáo nghiên cứu tiền khả thi dự án. Hiện nay Hội đồng thẩm định liên ngành đang hoàn thiện báo cáo, dự kiến Thủ tướng Chính phủ phê duyệt chủ trương đầu tư dự án.</w:t>
            </w:r>
          </w:p>
        </w:tc>
        <w:tc>
          <w:tcPr>
            <w:tcW w:w="992" w:type="dxa"/>
            <w:gridSpan w:val="2"/>
            <w:vAlign w:val="center"/>
          </w:tcPr>
          <w:p w14:paraId="5E3C1D5C">
            <w:pPr>
              <w:spacing w:line="240" w:lineRule="auto"/>
              <w:ind w:left="1" w:hanging="3"/>
              <w:jc w:val="center"/>
              <w:rPr>
                <w:sz w:val="26"/>
                <w:szCs w:val="26"/>
              </w:rPr>
            </w:pPr>
          </w:p>
        </w:tc>
      </w:tr>
      <w:tr w14:paraId="709DF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C91557B">
            <w:pPr>
              <w:pStyle w:val="139"/>
              <w:numPr>
                <w:ilvl w:val="0"/>
                <w:numId w:val="1"/>
              </w:numPr>
              <w:spacing w:line="240" w:lineRule="auto"/>
              <w:ind w:leftChars="0" w:firstLineChars="0"/>
              <w:jc w:val="both"/>
              <w:rPr>
                <w:sz w:val="26"/>
                <w:szCs w:val="26"/>
              </w:rPr>
            </w:pPr>
          </w:p>
        </w:tc>
        <w:tc>
          <w:tcPr>
            <w:tcW w:w="1834" w:type="dxa"/>
            <w:tcBorders>
              <w:bottom w:val="single" w:color="FF0000" w:sz="4" w:space="0"/>
            </w:tcBorders>
            <w:vAlign w:val="center"/>
          </w:tcPr>
          <w:p w14:paraId="1E89354A">
            <w:pPr>
              <w:spacing w:line="240" w:lineRule="auto"/>
              <w:ind w:left="1" w:hanging="3"/>
              <w:jc w:val="both"/>
              <w:rPr>
                <w:sz w:val="26"/>
                <w:szCs w:val="26"/>
              </w:rPr>
            </w:pPr>
            <w:r>
              <w:rPr>
                <w:sz w:val="26"/>
                <w:szCs w:val="26"/>
              </w:rPr>
              <w:t>Các dự án giảm kẹt xe khu vực sân bay Tân Sơn Nhất</w:t>
            </w:r>
          </w:p>
        </w:tc>
        <w:tc>
          <w:tcPr>
            <w:tcW w:w="2351" w:type="dxa"/>
            <w:vAlign w:val="center"/>
          </w:tcPr>
          <w:p w14:paraId="10CE170D">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4D5705EB">
            <w:pPr>
              <w:spacing w:line="240" w:lineRule="auto"/>
              <w:ind w:left="1" w:hanging="3"/>
              <w:jc w:val="both"/>
              <w:rPr>
                <w:sz w:val="26"/>
                <w:szCs w:val="26"/>
              </w:rPr>
            </w:pPr>
            <w:r>
              <w:rPr>
                <w:sz w:val="26"/>
                <w:szCs w:val="26"/>
              </w:rPr>
              <w:t>- Đơn vị chủ trì: Ban Quản lý dự án ĐTXD các CTGT</w:t>
            </w:r>
          </w:p>
        </w:tc>
        <w:tc>
          <w:tcPr>
            <w:tcW w:w="3178" w:type="dxa"/>
            <w:vAlign w:val="center"/>
          </w:tcPr>
          <w:p w14:paraId="1E8AEB0E">
            <w:pPr>
              <w:spacing w:line="240" w:lineRule="auto"/>
              <w:ind w:left="1" w:hanging="3"/>
              <w:jc w:val="both"/>
              <w:rPr>
                <w:sz w:val="26"/>
                <w:szCs w:val="26"/>
              </w:rPr>
            </w:pPr>
            <w:r>
              <w:rPr>
                <w:sz w:val="26"/>
                <w:szCs w:val="26"/>
              </w:rPr>
              <w:t>Dự án Xây dựng đường nối đường Trần Quốc Hoàn - đường Cộng Hòa, quận Tân Bình; Dự án Mở rộng đường Hoàng Hoa Thám từ cổng Doanh trại quân đội (giáp sân bay) đến đường Cộng Hòa, quận Tân Bình; Dự án Cải tạo, mở rộng đường Hoàng Minh Giám (đoạn từ ranh công viên Gia Định đến đường Đào Duy Anh và đoạn vuốt nối đường Phổ Quang hiện hữu), quận Phú Nhuận; Dự án Cải tạo đường Cộng Hòa từ hẻm số 2 đường Trần Quốc Hoàn đến đường Thăng Long, quận Tân Bình.</w:t>
            </w:r>
          </w:p>
        </w:tc>
        <w:tc>
          <w:tcPr>
            <w:tcW w:w="1689" w:type="dxa"/>
            <w:vAlign w:val="center"/>
          </w:tcPr>
          <w:p w14:paraId="52683407">
            <w:pPr>
              <w:spacing w:line="240" w:lineRule="auto"/>
              <w:ind w:left="1" w:hanging="3"/>
              <w:jc w:val="both"/>
              <w:rPr>
                <w:sz w:val="26"/>
                <w:szCs w:val="26"/>
              </w:rPr>
            </w:pPr>
            <w:r>
              <w:rPr>
                <w:sz w:val="26"/>
                <w:szCs w:val="26"/>
              </w:rPr>
              <w:t>Hoàn thành dịp 30/4/2025</w:t>
            </w:r>
          </w:p>
        </w:tc>
        <w:tc>
          <w:tcPr>
            <w:tcW w:w="4961" w:type="dxa"/>
            <w:vAlign w:val="center"/>
          </w:tcPr>
          <w:p w14:paraId="02A0D660">
            <w:pPr>
              <w:spacing w:line="240" w:lineRule="auto"/>
              <w:ind w:left="1" w:hanging="3"/>
              <w:jc w:val="both"/>
              <w:rPr>
                <w:sz w:val="26"/>
                <w:szCs w:val="26"/>
              </w:rPr>
            </w:pPr>
            <w:r>
              <w:rPr>
                <w:sz w:val="26"/>
                <w:szCs w:val="26"/>
              </w:rPr>
              <w:t>- Các dự án đang được triển khai thực hiện xin chủ trương, phối hợp với các đơn vị, địa phương thực hiện công tác giải phóng mặt bằng và thực hiện thi công ngoài hiện trường.</w:t>
            </w:r>
          </w:p>
        </w:tc>
        <w:tc>
          <w:tcPr>
            <w:tcW w:w="992" w:type="dxa"/>
            <w:gridSpan w:val="2"/>
            <w:vAlign w:val="center"/>
          </w:tcPr>
          <w:p w14:paraId="6F4CCE94">
            <w:pPr>
              <w:spacing w:line="240" w:lineRule="auto"/>
              <w:ind w:left="1" w:hanging="3"/>
              <w:jc w:val="center"/>
              <w:rPr>
                <w:sz w:val="26"/>
                <w:szCs w:val="26"/>
              </w:rPr>
            </w:pPr>
          </w:p>
        </w:tc>
      </w:tr>
      <w:tr w14:paraId="66D10E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5534CB0">
            <w:pPr>
              <w:pStyle w:val="139"/>
              <w:numPr>
                <w:ilvl w:val="0"/>
                <w:numId w:val="1"/>
              </w:numPr>
              <w:spacing w:line="240" w:lineRule="auto"/>
              <w:ind w:leftChars="0" w:firstLineChars="0"/>
              <w:jc w:val="both"/>
              <w:rPr>
                <w:sz w:val="26"/>
                <w:szCs w:val="26"/>
              </w:rPr>
            </w:pPr>
          </w:p>
        </w:tc>
        <w:tc>
          <w:tcPr>
            <w:tcW w:w="1834" w:type="dxa"/>
            <w:tcBorders>
              <w:bottom w:val="single" w:color="FF0000" w:sz="4" w:space="0"/>
            </w:tcBorders>
            <w:vAlign w:val="center"/>
          </w:tcPr>
          <w:p w14:paraId="47B1E669">
            <w:pPr>
              <w:spacing w:line="240" w:lineRule="auto"/>
              <w:ind w:left="1" w:hanging="3"/>
              <w:jc w:val="both"/>
              <w:rPr>
                <w:sz w:val="26"/>
                <w:szCs w:val="26"/>
              </w:rPr>
            </w:pPr>
            <w:r>
              <w:rPr>
                <w:sz w:val="26"/>
                <w:szCs w:val="26"/>
              </w:rPr>
              <w:t>Dự án Xây dựng, mở rộng Quốc lộ 50</w:t>
            </w:r>
          </w:p>
        </w:tc>
        <w:tc>
          <w:tcPr>
            <w:tcW w:w="2351" w:type="dxa"/>
            <w:vAlign w:val="center"/>
          </w:tcPr>
          <w:p w14:paraId="3F2ED68A">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0EE12842">
            <w:pPr>
              <w:spacing w:line="240" w:lineRule="auto"/>
              <w:ind w:left="1" w:hanging="3"/>
              <w:jc w:val="both"/>
              <w:rPr>
                <w:sz w:val="26"/>
                <w:szCs w:val="26"/>
              </w:rPr>
            </w:pPr>
            <w:r>
              <w:rPr>
                <w:sz w:val="26"/>
                <w:szCs w:val="26"/>
              </w:rPr>
              <w:t>- Đơn vị chủ trì: Ban Quản lý dự án ĐTXD các CTGT, Sở Giao thông Vận tải</w:t>
            </w:r>
          </w:p>
        </w:tc>
        <w:tc>
          <w:tcPr>
            <w:tcW w:w="3178" w:type="dxa"/>
            <w:vAlign w:val="center"/>
          </w:tcPr>
          <w:p w14:paraId="6ED224D8">
            <w:pPr>
              <w:spacing w:line="240" w:lineRule="auto"/>
              <w:ind w:left="1" w:hanging="3"/>
              <w:jc w:val="both"/>
              <w:rPr>
                <w:sz w:val="26"/>
                <w:szCs w:val="26"/>
              </w:rPr>
            </w:pPr>
            <w:r>
              <w:rPr>
                <w:sz w:val="26"/>
                <w:szCs w:val="26"/>
              </w:rPr>
              <w:t>Tăng cường năng lực khai thác tuyến đường trục liên kết thành phố Hồ Chí Minh với tỉnh Long An và các tỉnh miền Tây; tăng cường kết nối cho tuyến đường cao tốc Bến Lức - Long Thành, các tuyến trục chính, vành đai của Thành phố; giải quyết tình trạng ùn tắc giao thông, kéo giảm tai nạn giao thông, đáp ứng nhu cầu giao thông thông suốt cho tuyến đường vận tải quan trọng của Thành phố và khu vực phía Nam Thành phố.</w:t>
            </w:r>
          </w:p>
        </w:tc>
        <w:tc>
          <w:tcPr>
            <w:tcW w:w="1689" w:type="dxa"/>
            <w:vAlign w:val="center"/>
          </w:tcPr>
          <w:p w14:paraId="0EDC6D81">
            <w:pPr>
              <w:spacing w:line="240" w:lineRule="auto"/>
              <w:ind w:left="1" w:hanging="3"/>
              <w:jc w:val="both"/>
              <w:rPr>
                <w:sz w:val="26"/>
                <w:szCs w:val="26"/>
              </w:rPr>
            </w:pPr>
            <w:r>
              <w:rPr>
                <w:sz w:val="26"/>
                <w:szCs w:val="26"/>
              </w:rPr>
              <w:t>- Dự án Quốc lộ 50 hoàn thành và thông xe gói thầu xây dựng đường song hành (4,36km)  dịp 30/4/2025; hoàn thành thông xe toàn bộ công trình trong năm 2025</w:t>
            </w:r>
          </w:p>
        </w:tc>
        <w:tc>
          <w:tcPr>
            <w:tcW w:w="4961" w:type="dxa"/>
            <w:vAlign w:val="center"/>
          </w:tcPr>
          <w:p w14:paraId="3961AB3B">
            <w:pPr>
              <w:spacing w:line="240" w:lineRule="auto"/>
              <w:ind w:left="1" w:hanging="3"/>
              <w:jc w:val="both"/>
              <w:rPr>
                <w:sz w:val="26"/>
                <w:szCs w:val="26"/>
              </w:rPr>
            </w:pPr>
            <w:r>
              <w:rPr>
                <w:sz w:val="26"/>
                <w:szCs w:val="26"/>
              </w:rPr>
              <w:t>- Dự án xây dựng, mở rộng Quốc lộ 50: thi công đạt khoảng 53% khối lượng, tuy nhiên do vướng mặt bằng nên không thể hoàn thành toàn bộ công trình vào dịp 30 tháng 4 năm 2025 mà chỉ hoàn thành đường song hành (4,36km), hoàn thành toàn bộ công trình trong năm 2025.</w:t>
            </w:r>
          </w:p>
        </w:tc>
        <w:tc>
          <w:tcPr>
            <w:tcW w:w="992" w:type="dxa"/>
            <w:gridSpan w:val="2"/>
            <w:vAlign w:val="center"/>
          </w:tcPr>
          <w:p w14:paraId="72F2C734">
            <w:pPr>
              <w:spacing w:line="240" w:lineRule="auto"/>
              <w:ind w:left="1" w:hanging="3"/>
              <w:jc w:val="center"/>
              <w:rPr>
                <w:sz w:val="26"/>
                <w:szCs w:val="26"/>
              </w:rPr>
            </w:pPr>
          </w:p>
        </w:tc>
      </w:tr>
      <w:tr w14:paraId="26327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75627A3">
            <w:pPr>
              <w:pStyle w:val="139"/>
              <w:numPr>
                <w:ilvl w:val="0"/>
                <w:numId w:val="1"/>
              </w:numPr>
              <w:spacing w:line="240" w:lineRule="auto"/>
              <w:ind w:leftChars="0" w:firstLineChars="0"/>
              <w:jc w:val="both"/>
              <w:rPr>
                <w:sz w:val="26"/>
                <w:szCs w:val="26"/>
              </w:rPr>
            </w:pPr>
          </w:p>
        </w:tc>
        <w:tc>
          <w:tcPr>
            <w:tcW w:w="1834" w:type="dxa"/>
            <w:tcBorders>
              <w:bottom w:val="single" w:color="FF0000" w:sz="4" w:space="0"/>
            </w:tcBorders>
            <w:vAlign w:val="center"/>
          </w:tcPr>
          <w:p w14:paraId="6F3B91D2">
            <w:pPr>
              <w:spacing w:line="240" w:lineRule="auto"/>
              <w:ind w:left="1" w:hanging="3"/>
              <w:jc w:val="both"/>
              <w:rPr>
                <w:sz w:val="26"/>
                <w:szCs w:val="26"/>
              </w:rPr>
            </w:pPr>
            <w:r>
              <w:rPr>
                <w:sz w:val="26"/>
                <w:szCs w:val="26"/>
              </w:rPr>
              <w:t>Các Dự án khép kín Vành đai 2</w:t>
            </w:r>
          </w:p>
        </w:tc>
        <w:tc>
          <w:tcPr>
            <w:tcW w:w="2351" w:type="dxa"/>
            <w:vAlign w:val="center"/>
          </w:tcPr>
          <w:p w14:paraId="1C57BD43">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5B561DEC">
            <w:pPr>
              <w:spacing w:line="240" w:lineRule="auto"/>
              <w:ind w:left="1" w:hanging="3"/>
              <w:jc w:val="both"/>
              <w:rPr>
                <w:sz w:val="26"/>
                <w:szCs w:val="26"/>
              </w:rPr>
            </w:pPr>
            <w:r>
              <w:rPr>
                <w:sz w:val="26"/>
                <w:szCs w:val="26"/>
              </w:rPr>
              <w:t>- Đơn vị chủ trì: Sở Giao thông vận tải, Ban Quản lý dự án ĐTXD các CTGT</w:t>
            </w:r>
          </w:p>
        </w:tc>
        <w:tc>
          <w:tcPr>
            <w:tcW w:w="3178" w:type="dxa"/>
            <w:vAlign w:val="center"/>
          </w:tcPr>
          <w:p w14:paraId="11C6D1A9">
            <w:pPr>
              <w:spacing w:line="240" w:lineRule="auto"/>
              <w:ind w:left="1" w:hanging="3"/>
              <w:jc w:val="both"/>
              <w:rPr>
                <w:sz w:val="26"/>
                <w:szCs w:val="26"/>
              </w:rPr>
            </w:pPr>
            <w:r>
              <w:rPr>
                <w:sz w:val="26"/>
                <w:szCs w:val="26"/>
              </w:rPr>
              <w:t>Dự án đầu tư xây dựng đoạn tuyến kết nối từ đường Phạm Văn Đồng đến nút giao Gò Dưa - Quốc lộ 1, thành phố Thủ Đức; Dự án Vành đai 2 - đoạn 1 (đoạn từ cầu Phú Hữu đến Xa lộ Hà Nội), Dự án Vành đai 2, đoạn từ đường Võ Nguyên Giáp đến đường Phạm Văn Đồng (đoạn 2): Dự án khi hoàn thành kết nối trục giao thông chính đường Võ Chí Công với Xa lộ Hà Nội, tạo sự đồng bộ, tăng cường kết nối, rút ngắn quãng đường vận chuyển hàng hóa các cảng khu vực phía Đông, Đông Bắc và phía Nam thành phố (cảng Cát Lái, cảng Phú Hữu…).</w:t>
            </w:r>
          </w:p>
        </w:tc>
        <w:tc>
          <w:tcPr>
            <w:tcW w:w="1689" w:type="dxa"/>
            <w:vAlign w:val="center"/>
          </w:tcPr>
          <w:p w14:paraId="5AE59F84">
            <w:pPr>
              <w:spacing w:line="240" w:lineRule="auto"/>
              <w:ind w:left="1" w:hanging="3"/>
              <w:jc w:val="both"/>
              <w:rPr>
                <w:sz w:val="26"/>
                <w:szCs w:val="26"/>
              </w:rPr>
            </w:pPr>
            <w:r>
              <w:rPr>
                <w:sz w:val="26"/>
                <w:szCs w:val="26"/>
              </w:rPr>
              <w:t>- Đoạn 1 và 2 Vành đai 2: Khởi công dịp 30/4/2025</w:t>
            </w:r>
          </w:p>
          <w:p w14:paraId="1365FB97">
            <w:pPr>
              <w:spacing w:line="240" w:lineRule="auto"/>
              <w:ind w:left="1" w:hanging="3"/>
              <w:jc w:val="both"/>
              <w:rPr>
                <w:sz w:val="26"/>
                <w:szCs w:val="26"/>
              </w:rPr>
            </w:pPr>
            <w:r>
              <w:rPr>
                <w:sz w:val="26"/>
                <w:szCs w:val="26"/>
              </w:rPr>
              <w:t>- Đoạn 3 Vành đai 2: phối hợp Sở Kế hoạch và Đầu tư điều chỉnh dự án đầu tư và ký Phụ lục Hợp đồng</w:t>
            </w:r>
          </w:p>
        </w:tc>
        <w:tc>
          <w:tcPr>
            <w:tcW w:w="4961" w:type="dxa"/>
            <w:vAlign w:val="center"/>
          </w:tcPr>
          <w:p w14:paraId="55619CDB">
            <w:pPr>
              <w:spacing w:line="240" w:lineRule="auto"/>
              <w:ind w:left="1" w:hanging="3"/>
              <w:jc w:val="both"/>
              <w:rPr>
                <w:sz w:val="26"/>
                <w:szCs w:val="26"/>
                <w:highlight w:val="white"/>
              </w:rPr>
            </w:pPr>
            <w:r>
              <w:rPr>
                <w:sz w:val="26"/>
                <w:szCs w:val="26"/>
                <w:highlight w:val="white"/>
              </w:rPr>
              <w:t xml:space="preserve">- Dự án Vành đai 2 - đoạn 1 (đoạn từ cầu Phú Hữu đến Xa lộ Hà </w:t>
            </w:r>
            <w:r>
              <w:rPr>
                <w:sz w:val="26"/>
                <w:szCs w:val="26"/>
              </w:rPr>
              <w:t>N</w:t>
            </w:r>
            <w:r>
              <w:rPr>
                <w:sz w:val="26"/>
                <w:szCs w:val="26"/>
                <w:highlight w:val="white"/>
              </w:rPr>
              <w:t>ội) và Vành đai 2 đoạn 2 (từ Bình Thái đến Phạm Văn Đồng): Hiện nay, chủ đầu tư đang triển khai lập Báo cáo nghiên cứu khả thi, thi tuyển kiến trúc nút giao Bình Thái, nút giao Phạm Văn Đồng và</w:t>
            </w:r>
            <w:r>
              <w:rPr>
                <w:sz w:val="26"/>
                <w:szCs w:val="26"/>
              </w:rPr>
              <w:t xml:space="preserve"> p</w:t>
            </w:r>
            <w:r>
              <w:rPr>
                <w:sz w:val="26"/>
                <w:szCs w:val="26"/>
                <w:highlight w:val="white"/>
              </w:rPr>
              <w:t>hối hợp thực hiện công tác giải phóng</w:t>
            </w:r>
            <w:r>
              <w:rPr>
                <w:sz w:val="26"/>
                <w:szCs w:val="26"/>
              </w:rPr>
              <w:t xml:space="preserve"> </w:t>
            </w:r>
            <w:r>
              <w:rPr>
                <w:sz w:val="26"/>
                <w:szCs w:val="26"/>
                <w:highlight w:val="white"/>
              </w:rPr>
              <w:t>mặt bằng. Dự kiến phê duyệt dự án trong Quý IV năm 2024; phê duyệt thiết kế xây dựng triển khai sau thiết kế cơ sở quý I năm 2025; khởi công vào 30 tháng 4 năm 2025 và thi công hoàn thành trong năm 2027.</w:t>
            </w:r>
          </w:p>
          <w:p w14:paraId="4A71965D">
            <w:pPr>
              <w:spacing w:line="240" w:lineRule="auto"/>
              <w:ind w:left="1" w:hanging="3"/>
              <w:jc w:val="both"/>
              <w:rPr>
                <w:sz w:val="26"/>
                <w:szCs w:val="26"/>
              </w:rPr>
            </w:pPr>
            <w:r>
              <w:rPr>
                <w:sz w:val="26"/>
                <w:szCs w:val="26"/>
              </w:rPr>
              <w:t>- Dự án đầu tư xây dựng đoạn tuyến kết nối từ đường Phạm Văn Đồng đến nút giao Gò Dưa - Quốc lộ 1, thành phố Thủ Đức: Thực hiện chỉ đạo của Ủy ban nhân dân Thành phố, tại công văn số 9952/VP-DA ngày 26 tháng 8 năm 2024, Sở Giao thông vận tải (Trưởng Nhóm công tác liên ngành) đã tổ chức họp Nhóm công tác liên ngành (ngày 29/8/2024). Hiện các thành viên Nhóm công tác liên ngành đang góp ý, hoàn chỉnh báo cáo; dự kiến báo cáo Ủy ban nhân dân Thành phố xem xét các nội dung đủ cơ sở pháp lý để đàm phán, sửa đổi bổ sung Hợp đồng dự án trong tháng 10 năm 2024.</w:t>
            </w:r>
          </w:p>
        </w:tc>
        <w:tc>
          <w:tcPr>
            <w:tcW w:w="992" w:type="dxa"/>
            <w:gridSpan w:val="2"/>
            <w:vAlign w:val="center"/>
          </w:tcPr>
          <w:p w14:paraId="02A244B5">
            <w:pPr>
              <w:spacing w:line="240" w:lineRule="auto"/>
              <w:ind w:left="1" w:hanging="3"/>
              <w:jc w:val="center"/>
              <w:rPr>
                <w:sz w:val="26"/>
                <w:szCs w:val="26"/>
              </w:rPr>
            </w:pPr>
          </w:p>
        </w:tc>
      </w:tr>
      <w:tr w14:paraId="54A4D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0CBB16BB">
            <w:pPr>
              <w:pStyle w:val="139"/>
              <w:numPr>
                <w:ilvl w:val="0"/>
                <w:numId w:val="1"/>
              </w:numPr>
              <w:spacing w:line="240" w:lineRule="auto"/>
              <w:ind w:leftChars="0" w:firstLineChars="0"/>
              <w:jc w:val="both"/>
              <w:rPr>
                <w:sz w:val="26"/>
                <w:szCs w:val="26"/>
              </w:rPr>
            </w:pPr>
          </w:p>
        </w:tc>
        <w:tc>
          <w:tcPr>
            <w:tcW w:w="1834" w:type="dxa"/>
            <w:vAlign w:val="center"/>
          </w:tcPr>
          <w:p w14:paraId="0063B3E4">
            <w:pPr>
              <w:spacing w:line="240" w:lineRule="auto"/>
              <w:ind w:left="1" w:hanging="3"/>
              <w:jc w:val="both"/>
              <w:rPr>
                <w:sz w:val="26"/>
                <w:szCs w:val="26"/>
              </w:rPr>
            </w:pPr>
            <w:r>
              <w:rPr>
                <w:sz w:val="26"/>
                <w:szCs w:val="26"/>
              </w:rPr>
              <w:t>Dự án Vành đai 3, Vành đai 4</w:t>
            </w:r>
          </w:p>
        </w:tc>
        <w:tc>
          <w:tcPr>
            <w:tcW w:w="2351" w:type="dxa"/>
            <w:vAlign w:val="center"/>
          </w:tcPr>
          <w:p w14:paraId="0BF8EEE6">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67F1A274">
            <w:pPr>
              <w:spacing w:line="240" w:lineRule="auto"/>
              <w:ind w:left="1" w:hanging="3"/>
              <w:jc w:val="both"/>
              <w:rPr>
                <w:sz w:val="26"/>
                <w:szCs w:val="26"/>
              </w:rPr>
            </w:pPr>
            <w:r>
              <w:rPr>
                <w:sz w:val="26"/>
                <w:szCs w:val="26"/>
              </w:rPr>
              <w:t>- Đơn vị chủ trì: Sở Giao thông vận tải,  Ban Quản lý dự án ĐTXD các CTGT</w:t>
            </w:r>
          </w:p>
        </w:tc>
        <w:tc>
          <w:tcPr>
            <w:tcW w:w="3178" w:type="dxa"/>
            <w:vAlign w:val="center"/>
          </w:tcPr>
          <w:p w14:paraId="3BF22D80">
            <w:pPr>
              <w:spacing w:line="240" w:lineRule="auto"/>
              <w:ind w:left="1" w:hanging="3"/>
              <w:jc w:val="both"/>
              <w:rPr>
                <w:sz w:val="26"/>
                <w:szCs w:val="26"/>
              </w:rPr>
            </w:pPr>
            <w:r>
              <w:rPr>
                <w:sz w:val="26"/>
                <w:szCs w:val="26"/>
              </w:rPr>
              <w:t>Với tính chất kết nối liên vùng, kết nối với các tuyến quốc lộ hướng tâm. Việc đầu tư dự án đường Vành đai 3, Vành đai 4 với năng lực thông hành lớn, tốc độ cao nhằm tạo động lực, sức lan tỏa để thúc đẩy chuyển dịch cơ cấu kinh tế, phát triển kinh tế - xã hội vùng Đông Nam Bộ nói riêng và cả nước nói chung.</w:t>
            </w:r>
          </w:p>
        </w:tc>
        <w:tc>
          <w:tcPr>
            <w:tcW w:w="1689" w:type="dxa"/>
            <w:vAlign w:val="center"/>
          </w:tcPr>
          <w:p w14:paraId="54C84B3C">
            <w:pPr>
              <w:spacing w:line="240" w:lineRule="auto"/>
              <w:ind w:left="1" w:hanging="3"/>
              <w:jc w:val="both"/>
              <w:rPr>
                <w:sz w:val="26"/>
                <w:szCs w:val="26"/>
              </w:rPr>
            </w:pPr>
            <w:r>
              <w:rPr>
                <w:sz w:val="26"/>
                <w:szCs w:val="26"/>
              </w:rPr>
              <w:t>- Dự án Vành đai 3  hoàn thành cao tốc năm 2025 và thông xe toàn tuyến Vành đai 3 (bao gồm cao tốc và đường song hành) năm 2026.</w:t>
            </w:r>
          </w:p>
          <w:p w14:paraId="22FB1E6E">
            <w:pPr>
              <w:spacing w:line="240" w:lineRule="auto"/>
              <w:ind w:left="1" w:hanging="3"/>
              <w:jc w:val="both"/>
              <w:rPr>
                <w:sz w:val="26"/>
                <w:szCs w:val="26"/>
              </w:rPr>
            </w:pPr>
            <w:r>
              <w:rPr>
                <w:sz w:val="26"/>
                <w:szCs w:val="26"/>
              </w:rPr>
              <w:t>- Khởi công Dự án Vành đai 4 dịp 30/4/2025</w:t>
            </w:r>
          </w:p>
        </w:tc>
        <w:tc>
          <w:tcPr>
            <w:tcW w:w="4961" w:type="dxa"/>
            <w:vAlign w:val="center"/>
          </w:tcPr>
          <w:p w14:paraId="16CB2F71">
            <w:pPr>
              <w:spacing w:line="240" w:lineRule="auto"/>
              <w:ind w:left="1" w:hanging="3"/>
              <w:jc w:val="both"/>
              <w:rPr>
                <w:sz w:val="26"/>
                <w:szCs w:val="26"/>
                <w:highlight w:val="white"/>
              </w:rPr>
            </w:pPr>
            <w:r>
              <w:rPr>
                <w:sz w:val="26"/>
                <w:szCs w:val="26"/>
                <w:highlight w:val="white"/>
              </w:rPr>
              <w:t>- Dự án Vành đai 3: dự án chính thức khởi công xây dựng ngày 18 tháng 6 năm 2023, vượt tiến độ 12 ngày so với yêu cầu của Chính phủ tại Nghị quyết số 105/NQ-CP. Hiện nay, các gói thầu xây lắp chính đang triển khai thi công, dự kiến hoàn thành cao tốc vào ngày 30 tháng 6 năm 2026; hoàn thành toàn bộ dự án vào năm 2026.</w:t>
            </w:r>
          </w:p>
          <w:p w14:paraId="0BE7AE7D">
            <w:pPr>
              <w:spacing w:line="240" w:lineRule="auto"/>
              <w:ind w:left="1" w:hanging="3"/>
              <w:jc w:val="both"/>
              <w:rPr>
                <w:sz w:val="26"/>
                <w:szCs w:val="26"/>
                <w:highlight w:val="white"/>
              </w:rPr>
            </w:pPr>
            <w:r>
              <w:rPr>
                <w:sz w:val="26"/>
                <w:szCs w:val="26"/>
                <w:highlight w:val="white"/>
              </w:rPr>
              <w:t>- Dự án Vành đai 4: Dự án đã được bố trí vốn đầu tư công trung hạn giai đoạn 2021 - 2025 để thực hiện nhiệm vụ chuẩn bị đầu tư (Nghị quyết số 56/NQ-HĐND của Hội đồng nhân dân Thành phố); bố trí vốn Kế hoạch năm 2023 để thực hiện nhiệm vụ chuẩn bị đầu tư (Quyết định số 4168/QĐ UB ngày 30 tháng 12 năm 2022 của Ủy ban nhân dân Thành phố). Sở Giao thông vận tải đã cơ bản hoàn chỉnh Báo cáo nghiên cứu tiền khả thi. Hiện nay, Sở Quy hoạch - Kiến trúc đang tham mưu Ủy ban nhân dân Thành phố trình phê duyệt Đồ án điều chỉnh quy hoạch chung Thành phố Hồ Chí Minh đến năm 2040, tầm nhìn đến năm 2060 (đã cập nhật hướng tuyến điều chỉnh). Sau khi Đồ án điều chỉnh quy hoạch chung được Thủ tướng Chính phủ phê duyệt, Sở Giao thông vận tải sẽ hoàn thiện, trình cấp thẩm quyền phê duyệt Báo cáo nghiên cứu tiền khả thi dự án; phấn đấu khởi công Dự án trong năm 2025, hoàn thành năm 2028.</w:t>
            </w:r>
          </w:p>
        </w:tc>
        <w:tc>
          <w:tcPr>
            <w:tcW w:w="992" w:type="dxa"/>
            <w:gridSpan w:val="2"/>
            <w:vAlign w:val="center"/>
          </w:tcPr>
          <w:p w14:paraId="521D99DF">
            <w:pPr>
              <w:spacing w:line="240" w:lineRule="auto"/>
              <w:ind w:left="1" w:hanging="3"/>
              <w:jc w:val="center"/>
              <w:rPr>
                <w:sz w:val="26"/>
                <w:szCs w:val="26"/>
              </w:rPr>
            </w:pPr>
          </w:p>
        </w:tc>
      </w:tr>
      <w:tr w14:paraId="7584D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53C4CC2D">
            <w:pPr>
              <w:pStyle w:val="139"/>
              <w:numPr>
                <w:ilvl w:val="0"/>
                <w:numId w:val="1"/>
              </w:numPr>
              <w:spacing w:line="240" w:lineRule="auto"/>
              <w:ind w:leftChars="0" w:firstLineChars="0"/>
              <w:jc w:val="both"/>
              <w:rPr>
                <w:sz w:val="26"/>
                <w:szCs w:val="26"/>
              </w:rPr>
            </w:pPr>
          </w:p>
        </w:tc>
        <w:tc>
          <w:tcPr>
            <w:tcW w:w="1834" w:type="dxa"/>
            <w:vAlign w:val="center"/>
          </w:tcPr>
          <w:p w14:paraId="3FD9BE3A">
            <w:pPr>
              <w:spacing w:line="240" w:lineRule="auto"/>
              <w:ind w:left="1" w:hanging="3"/>
              <w:jc w:val="both"/>
              <w:rPr>
                <w:sz w:val="26"/>
                <w:szCs w:val="26"/>
              </w:rPr>
            </w:pPr>
            <w:r>
              <w:rPr>
                <w:sz w:val="26"/>
                <w:szCs w:val="26"/>
              </w:rPr>
              <w:t>Dự án Cầu Thủ Thiêm 4, Cầu Cần Giờ</w:t>
            </w:r>
          </w:p>
        </w:tc>
        <w:tc>
          <w:tcPr>
            <w:tcW w:w="2351" w:type="dxa"/>
            <w:vAlign w:val="center"/>
          </w:tcPr>
          <w:p w14:paraId="1F6395C8">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4A75E3E9">
            <w:pPr>
              <w:spacing w:line="240" w:lineRule="auto"/>
              <w:ind w:left="1" w:hanging="3"/>
              <w:jc w:val="both"/>
              <w:rPr>
                <w:sz w:val="26"/>
                <w:szCs w:val="26"/>
              </w:rPr>
            </w:pPr>
            <w:r>
              <w:rPr>
                <w:sz w:val="26"/>
                <w:szCs w:val="26"/>
              </w:rPr>
              <w:t xml:space="preserve">- Đơn vị chủ trì: Sở Giao thông </w:t>
            </w:r>
            <w:r>
              <w:rPr>
                <w:sz w:val="26"/>
                <w:szCs w:val="26"/>
              </w:rPr>
              <w:br w:type="textWrapping"/>
            </w:r>
            <w:r>
              <w:rPr>
                <w:sz w:val="26"/>
                <w:szCs w:val="26"/>
              </w:rPr>
              <w:t>vận tải</w:t>
            </w:r>
          </w:p>
        </w:tc>
        <w:tc>
          <w:tcPr>
            <w:tcW w:w="3178" w:type="dxa"/>
            <w:vAlign w:val="center"/>
          </w:tcPr>
          <w:p w14:paraId="27B53BB6">
            <w:pPr>
              <w:spacing w:line="240" w:lineRule="auto"/>
              <w:ind w:left="1" w:hanging="3"/>
              <w:jc w:val="both"/>
              <w:rPr>
                <w:sz w:val="26"/>
                <w:szCs w:val="26"/>
              </w:rPr>
            </w:pPr>
            <w:r>
              <w:rPr>
                <w:sz w:val="26"/>
                <w:szCs w:val="26"/>
              </w:rPr>
              <w:t>Việc đầu tư xây dựng cầu Thủ Thiêm 4 nhằm kết nối 2 khu đô thị - Khu Đô thị mới Thủ Thiêm và Khu đô thị mới Nam Thành phố; Dự án cầu Cần Giờ thay thế phà Bình Khánh nhằm kết nối giao thông giữa huyện đảo Cần Giờ với trung tâm Thành phố và các khu vực lân cận; Giải quyết tình trạng ùn tắc giao thông, kéo giảm tai nạn giao thông tại khu vực phà Cát Lái, đáp ứng nhu cầu giao thông thông suốt cho tuyến đường Rừng Sác là tuyến đường vận tải quan trọng của huyện Cần Giờ.</w:t>
            </w:r>
          </w:p>
        </w:tc>
        <w:tc>
          <w:tcPr>
            <w:tcW w:w="1689" w:type="dxa"/>
            <w:vAlign w:val="center"/>
          </w:tcPr>
          <w:p w14:paraId="6EC07554">
            <w:pPr>
              <w:spacing w:line="240" w:lineRule="auto"/>
              <w:ind w:left="1" w:hanging="3"/>
              <w:jc w:val="both"/>
              <w:rPr>
                <w:sz w:val="26"/>
                <w:szCs w:val="26"/>
              </w:rPr>
            </w:pPr>
            <w:r>
              <w:rPr>
                <w:sz w:val="26"/>
                <w:szCs w:val="26"/>
              </w:rPr>
              <w:t>Khởi công dịp 30/4/2025</w:t>
            </w:r>
          </w:p>
        </w:tc>
        <w:tc>
          <w:tcPr>
            <w:tcW w:w="4961" w:type="dxa"/>
            <w:vAlign w:val="center"/>
          </w:tcPr>
          <w:p w14:paraId="68620AE7">
            <w:pPr>
              <w:spacing w:line="240" w:lineRule="auto"/>
              <w:ind w:left="1" w:hanging="3"/>
              <w:jc w:val="both"/>
              <w:rPr>
                <w:sz w:val="26"/>
                <w:szCs w:val="26"/>
              </w:rPr>
            </w:pPr>
            <w:r>
              <w:rPr>
                <w:sz w:val="26"/>
                <w:szCs w:val="26"/>
              </w:rPr>
              <w:t xml:space="preserve">- Dự án Cầu Thủ Thiêm 4: Sở Giao thông vận tải đã trình Hội đồng thẩm định Thành phố (thông qua Sở Kế hoạch và Đầu tư - Cơ quan thường trực) thẩm định Hồ sơ báo cáo nghiên cứu tiền khả thi dự án tại Tờ trình số </w:t>
            </w:r>
            <w:r>
              <w:rPr>
                <w:spacing w:val="-6"/>
                <w:sz w:val="26"/>
                <w:szCs w:val="26"/>
              </w:rPr>
              <w:t>14828/TTr-SGTVT ngày 01 tháng 12 năm 2023.</w:t>
            </w:r>
          </w:p>
          <w:p w14:paraId="144935A2">
            <w:pPr>
              <w:spacing w:line="240" w:lineRule="auto"/>
              <w:ind w:left="1" w:hanging="3"/>
              <w:jc w:val="both"/>
              <w:rPr>
                <w:sz w:val="26"/>
                <w:szCs w:val="26"/>
              </w:rPr>
            </w:pPr>
            <w:r>
              <w:rPr>
                <w:sz w:val="26"/>
                <w:szCs w:val="26"/>
              </w:rPr>
              <w:t>- Dự án Cầu Cần Giờ: Sở Giao thông vận tải đã trình Hội đồng thẩm định thành phố (thông qua Sở Kế hoạch và Đầu tư - Cơ quan thường trực) thẩm định Hồ sơ báo cáo nghiên cứu tiền khả thi dự án tại Tờ trình số 14809/TTr-SGTVT ngày 01 tháng 12 năm 2023.</w:t>
            </w:r>
          </w:p>
          <w:p w14:paraId="579B490A">
            <w:pPr>
              <w:spacing w:line="240" w:lineRule="auto"/>
              <w:ind w:left="1" w:hanging="3"/>
              <w:jc w:val="both"/>
              <w:rPr>
                <w:sz w:val="26"/>
                <w:szCs w:val="26"/>
              </w:rPr>
            </w:pPr>
            <w:r>
              <w:rPr>
                <w:sz w:val="26"/>
                <w:szCs w:val="26"/>
              </w:rPr>
              <w:t>Hiện nay, Sở Quy hoạch - Kiến trúc đang tham mưu Ủy ban nhân dân Thành phố trình phê duyệt Đồ án điều chỉnh quy hoạch chung Thành phố Hồ Chí Minh đến năm 2040, tầm nhìn đến năm 2060. Sau khi Đồ án điều chỉnh quy hoạch chung được Thủ tướng Chính phủ phê duyệt, Sở Giao thông vận tải sẽ hoàn thiện, trình cấp thẩm quyền phê duyệt Báo cáo nghiên cứu tiền khả thi dự án; phấn đấu khởi công Dự án trong năm 2025, hoàn thành năm 2028.</w:t>
            </w:r>
          </w:p>
        </w:tc>
        <w:tc>
          <w:tcPr>
            <w:tcW w:w="992" w:type="dxa"/>
            <w:gridSpan w:val="2"/>
            <w:vAlign w:val="center"/>
          </w:tcPr>
          <w:p w14:paraId="7B4DDF84">
            <w:pPr>
              <w:spacing w:line="240" w:lineRule="auto"/>
              <w:ind w:left="1" w:hanging="3"/>
              <w:jc w:val="center"/>
              <w:rPr>
                <w:sz w:val="26"/>
                <w:szCs w:val="26"/>
              </w:rPr>
            </w:pPr>
          </w:p>
        </w:tc>
      </w:tr>
      <w:tr w14:paraId="4D071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0458595A">
            <w:pPr>
              <w:pStyle w:val="139"/>
              <w:numPr>
                <w:ilvl w:val="0"/>
                <w:numId w:val="1"/>
              </w:numPr>
              <w:spacing w:line="240" w:lineRule="auto"/>
              <w:ind w:leftChars="0" w:firstLineChars="0"/>
              <w:jc w:val="both"/>
              <w:rPr>
                <w:sz w:val="26"/>
                <w:szCs w:val="26"/>
              </w:rPr>
            </w:pPr>
          </w:p>
        </w:tc>
        <w:tc>
          <w:tcPr>
            <w:tcW w:w="1834" w:type="dxa"/>
            <w:vAlign w:val="center"/>
          </w:tcPr>
          <w:p w14:paraId="4C687EE0">
            <w:pPr>
              <w:spacing w:line="240" w:lineRule="auto"/>
              <w:ind w:left="1" w:hanging="3"/>
              <w:jc w:val="both"/>
              <w:rPr>
                <w:sz w:val="26"/>
                <w:szCs w:val="26"/>
              </w:rPr>
            </w:pPr>
            <w:r>
              <w:rPr>
                <w:sz w:val="26"/>
                <w:szCs w:val="26"/>
              </w:rPr>
              <w:t>Dự án Cảng trung chuyển quốc tế Cần Giờ</w:t>
            </w:r>
          </w:p>
        </w:tc>
        <w:tc>
          <w:tcPr>
            <w:tcW w:w="2351" w:type="dxa"/>
            <w:vAlign w:val="center"/>
          </w:tcPr>
          <w:p w14:paraId="5FD84585">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06EFD99C">
            <w:pPr>
              <w:spacing w:line="240" w:lineRule="auto"/>
              <w:ind w:left="1" w:hanging="3"/>
              <w:jc w:val="both"/>
              <w:rPr>
                <w:sz w:val="26"/>
                <w:szCs w:val="26"/>
              </w:rPr>
            </w:pPr>
            <w:r>
              <w:rPr>
                <w:sz w:val="26"/>
                <w:szCs w:val="26"/>
              </w:rPr>
              <w:t>- Đơn vị chủ trì: Sở Giao thông vận tải</w:t>
            </w:r>
          </w:p>
        </w:tc>
        <w:tc>
          <w:tcPr>
            <w:tcW w:w="3178" w:type="dxa"/>
            <w:vAlign w:val="center"/>
          </w:tcPr>
          <w:p w14:paraId="3A7BE46E">
            <w:pPr>
              <w:spacing w:line="240" w:lineRule="auto"/>
              <w:ind w:left="1" w:hanging="3"/>
              <w:jc w:val="both"/>
              <w:rPr>
                <w:sz w:val="26"/>
                <w:szCs w:val="26"/>
              </w:rPr>
            </w:pPr>
            <w:r>
              <w:rPr>
                <w:sz w:val="26"/>
                <w:szCs w:val="26"/>
              </w:rPr>
              <w:t>Xây dựng Cảng trung chuyển quốc tế Cần Giờ đồng bộ, hiện đại, ứng dụng công nghệ thông minh, tự động hóa trong hoạt động quản lý vận hành khai thác cảng theo hướng bền vững, sử dụng nhiên liệu sạch, bảo vệ môi trường; trở thành trung tâm trung chuyển quốc tế của Thành phố Hồ Chí Minh và khu vực, thu hút các hãng tàu, hãng vận tải, chủ hàng, doanh nghiệp kinh doanh dịch vụ logistics về cảng, tham gia vào chuỗi cung ứng vận tải thế giới.</w:t>
            </w:r>
          </w:p>
        </w:tc>
        <w:tc>
          <w:tcPr>
            <w:tcW w:w="1689" w:type="dxa"/>
            <w:vAlign w:val="center"/>
          </w:tcPr>
          <w:p w14:paraId="3DF710A0">
            <w:pPr>
              <w:spacing w:line="240" w:lineRule="auto"/>
              <w:ind w:left="1" w:hanging="3"/>
              <w:jc w:val="both"/>
              <w:rPr>
                <w:sz w:val="26"/>
                <w:szCs w:val="26"/>
              </w:rPr>
            </w:pPr>
            <w:r>
              <w:rPr>
                <w:sz w:val="26"/>
                <w:szCs w:val="26"/>
              </w:rPr>
              <w:t>Khởi công dịp 30/4/2025</w:t>
            </w:r>
          </w:p>
        </w:tc>
        <w:tc>
          <w:tcPr>
            <w:tcW w:w="4961" w:type="dxa"/>
            <w:vAlign w:val="center"/>
          </w:tcPr>
          <w:p w14:paraId="4A459A99">
            <w:pPr>
              <w:spacing w:line="240" w:lineRule="auto"/>
              <w:ind w:left="1" w:hanging="3"/>
              <w:jc w:val="both"/>
              <w:rPr>
                <w:sz w:val="26"/>
                <w:szCs w:val="26"/>
              </w:rPr>
            </w:pPr>
            <w:r>
              <w:rPr>
                <w:sz w:val="26"/>
                <w:szCs w:val="26"/>
              </w:rPr>
              <w:t>- Về dự án Cảng trung chuyển quốc tế cửa ngõ Sài Gòn:</w:t>
            </w:r>
          </w:p>
          <w:p w14:paraId="6B48BC91">
            <w:pPr>
              <w:spacing w:line="240" w:lineRule="auto"/>
              <w:ind w:left="1" w:hanging="3"/>
              <w:jc w:val="both"/>
              <w:rPr>
                <w:sz w:val="26"/>
                <w:szCs w:val="26"/>
              </w:rPr>
            </w:pPr>
            <w:r>
              <w:rPr>
                <w:sz w:val="26"/>
                <w:szCs w:val="26"/>
              </w:rPr>
              <w:t>+ Sở Kế hoạch và Đầu tư đã tham mưu Ủy ban nhân dân Thành phố có văn bản số 2726/UBND-DA ngày 16/5/2024 gửi Bộ Kế hoạch và Đầu tư trình Thủ tướng Chính phủ phê duyệt chủ trương.</w:t>
            </w:r>
          </w:p>
          <w:p w14:paraId="6076F079">
            <w:pPr>
              <w:spacing w:line="240" w:lineRule="auto"/>
              <w:ind w:left="1" w:hanging="3"/>
              <w:jc w:val="both"/>
              <w:rPr>
                <w:sz w:val="26"/>
                <w:szCs w:val="26"/>
              </w:rPr>
            </w:pPr>
            <w:r>
              <w:rPr>
                <w:sz w:val="26"/>
                <w:szCs w:val="26"/>
              </w:rPr>
              <w:t>+ Ngày 16 tháng 7 năm 2024, Bộ Kế hoạch và Đầu tư có Báo cáo thẩm định số 5590/BC-BKHĐT báo cáo, trình Thủ tướng Chính phủ về hồ sơ đề nghị chấp thuận chủ trương đầu tư dự án Cảng trung chuyển quốc tế cửa ngõ Sài Gòn.</w:t>
            </w:r>
          </w:p>
          <w:p w14:paraId="4DF43E14">
            <w:pPr>
              <w:spacing w:line="240" w:lineRule="auto"/>
              <w:ind w:left="1" w:hanging="3"/>
              <w:jc w:val="both"/>
              <w:rPr>
                <w:sz w:val="26"/>
                <w:szCs w:val="26"/>
              </w:rPr>
            </w:pPr>
            <w:r>
              <w:rPr>
                <w:sz w:val="26"/>
                <w:szCs w:val="26"/>
              </w:rPr>
              <w:t xml:space="preserve">+ Chính phủ đã có Văn bản số 5714/VPCP-CN ngày 12 tháng 8 năm 2024 và Thông báo số 418/TB-VPCP ngày 13 tháng 9 năm 2024 chỉ đạo Bộ Kế hoạch và Đầu tư chủ trì phối hợp các Bộ ngành, Ủy ban nhân dân Thành phố hướng dẫn nhà đầu tư tiếp thu ý kiến góp ý, bổ sung, hoàn thiện hồ sơ, gửi Bộ Kế hoạch và Đầu tư </w:t>
            </w:r>
            <w:r>
              <w:rPr>
                <w:spacing w:val="-12"/>
                <w:sz w:val="26"/>
                <w:szCs w:val="26"/>
              </w:rPr>
              <w:t>để hoàn thiện thẩm định, trình Thủ tướng Chính phủ.</w:t>
            </w:r>
          </w:p>
          <w:p w14:paraId="2DFE633A">
            <w:pPr>
              <w:spacing w:line="240" w:lineRule="auto"/>
              <w:ind w:left="1" w:hanging="3"/>
              <w:jc w:val="both"/>
              <w:rPr>
                <w:sz w:val="26"/>
                <w:szCs w:val="26"/>
              </w:rPr>
            </w:pPr>
            <w:r>
              <w:rPr>
                <w:sz w:val="26"/>
                <w:szCs w:val="26"/>
              </w:rPr>
              <w:t>- Về quy hoạch:</w:t>
            </w:r>
          </w:p>
          <w:p w14:paraId="1331795F">
            <w:pPr>
              <w:spacing w:line="240" w:lineRule="auto"/>
              <w:ind w:left="1" w:hanging="3"/>
              <w:jc w:val="both"/>
              <w:rPr>
                <w:sz w:val="26"/>
                <w:szCs w:val="26"/>
              </w:rPr>
            </w:pPr>
            <w:r>
              <w:rPr>
                <w:sz w:val="26"/>
                <w:szCs w:val="26"/>
              </w:rPr>
              <w:t>+ Thủ tướng Chính phủ đã ban hành Quyết định số 370/QĐ-TTg ngày 04 tháng 5 năm 2024 phê duyệt quy hoạch vùng Đông Nam Bộ thời kỳ 2021 - 2030, tầm nhìn đến năm 2050 và Quyết định số 442/QĐ-TTg ngày 22 tháng 5 năm 2024 phê duyệt điều chỉnh Quy hoạch tổng thể phát triển hệ thống cảng biển Việt Nam thời kỳ 2021 - 2030, tầm nhìn đến năm 2050. Theo đó đã bổ sung quy hoạch Cảng trung chuyển quốc tế Cần Giờ.</w:t>
            </w:r>
          </w:p>
          <w:p w14:paraId="6C09E80F">
            <w:pPr>
              <w:spacing w:line="240" w:lineRule="auto"/>
              <w:ind w:left="1" w:hanging="3"/>
              <w:jc w:val="both"/>
              <w:rPr>
                <w:sz w:val="26"/>
                <w:szCs w:val="26"/>
              </w:rPr>
            </w:pPr>
            <w:r>
              <w:rPr>
                <w:sz w:val="26"/>
                <w:szCs w:val="26"/>
              </w:rPr>
              <w:t>+ Quy hoạch chi tiết nhóm cảng biển, bến cảng, cầu cảng, bến phao, khu nước, vùng nước, quy hoạchchi tiết phát triển vùng đất, vùng nước cảng biển: Bộ GTVT đã trình Thủ tướng Chính phủ tại tờ trình số 7713/TTr-BGTVT ngày 19 tháng 7 năm 2024.</w:t>
            </w:r>
          </w:p>
          <w:p w14:paraId="53186A47">
            <w:pPr>
              <w:spacing w:line="240" w:lineRule="auto"/>
              <w:ind w:left="1" w:hanging="3"/>
              <w:jc w:val="both"/>
              <w:rPr>
                <w:sz w:val="26"/>
                <w:szCs w:val="26"/>
              </w:rPr>
            </w:pPr>
            <w:r>
              <w:rPr>
                <w:sz w:val="26"/>
                <w:szCs w:val="26"/>
              </w:rPr>
              <w:t xml:space="preserve">- Về Đề án nghiên cứu xây dựng Cảng trung chuyển quốc tế Cần Giờ: Sở Giao thông vận tải đã tham mưu Ủy ban nhân dân Thành phố có văn bản gửi hồ sơ Đề án và Bộ Giao thông vận tải đã họp thẩm định ngày 17 tháng 6 năm 2024 và dự kiến hoàn thành trình Thủ tướng Chính phủ. (Ủy ban nhân dân Thành phố đã giao Sở Kế hoạch và Đầu tư chủ trì tham mưu về dự án Cảng trung chuyển cửa ngõ Sài Gòn (văn bản số 5313/VP-DA ngày 01 tháng 6 năm 2023). </w:t>
            </w:r>
          </w:p>
        </w:tc>
        <w:tc>
          <w:tcPr>
            <w:tcW w:w="992" w:type="dxa"/>
            <w:gridSpan w:val="2"/>
            <w:vAlign w:val="center"/>
          </w:tcPr>
          <w:p w14:paraId="6AB2161C">
            <w:pPr>
              <w:spacing w:line="240" w:lineRule="auto"/>
              <w:ind w:left="1" w:hanging="3"/>
              <w:jc w:val="center"/>
              <w:rPr>
                <w:sz w:val="26"/>
                <w:szCs w:val="26"/>
              </w:rPr>
            </w:pPr>
          </w:p>
        </w:tc>
      </w:tr>
      <w:tr w14:paraId="1BA83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70" w:hRule="atLeast"/>
        </w:trPr>
        <w:tc>
          <w:tcPr>
            <w:tcW w:w="855" w:type="dxa"/>
            <w:vAlign w:val="center"/>
          </w:tcPr>
          <w:p w14:paraId="23B2F445">
            <w:pPr>
              <w:pStyle w:val="139"/>
              <w:numPr>
                <w:ilvl w:val="0"/>
                <w:numId w:val="1"/>
              </w:numPr>
              <w:spacing w:line="240" w:lineRule="auto"/>
              <w:ind w:leftChars="0" w:firstLineChars="0"/>
              <w:jc w:val="both"/>
              <w:rPr>
                <w:sz w:val="26"/>
                <w:szCs w:val="26"/>
              </w:rPr>
            </w:pPr>
          </w:p>
        </w:tc>
        <w:tc>
          <w:tcPr>
            <w:tcW w:w="1834" w:type="dxa"/>
            <w:vAlign w:val="center"/>
          </w:tcPr>
          <w:p w14:paraId="2351C699">
            <w:pPr>
              <w:spacing w:line="240" w:lineRule="auto"/>
              <w:ind w:left="1" w:hanging="3"/>
              <w:jc w:val="both"/>
              <w:rPr>
                <w:sz w:val="26"/>
                <w:szCs w:val="26"/>
              </w:rPr>
            </w:pPr>
            <w:r>
              <w:rPr>
                <w:sz w:val="26"/>
                <w:szCs w:val="26"/>
              </w:rPr>
              <w:t>Dự án Giải quyết ngập do triều khu vực Thành phố Hồ Chí Minh</w:t>
            </w:r>
          </w:p>
        </w:tc>
        <w:tc>
          <w:tcPr>
            <w:tcW w:w="2351" w:type="dxa"/>
            <w:vAlign w:val="center"/>
          </w:tcPr>
          <w:p w14:paraId="133C92A8">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15D2FDEB">
            <w:pPr>
              <w:spacing w:line="240" w:lineRule="auto"/>
              <w:ind w:left="1" w:hanging="3"/>
              <w:jc w:val="both"/>
              <w:rPr>
                <w:sz w:val="26"/>
                <w:szCs w:val="26"/>
              </w:rPr>
            </w:pPr>
            <w:r>
              <w:rPr>
                <w:sz w:val="26"/>
                <w:szCs w:val="26"/>
              </w:rPr>
              <w:t xml:space="preserve">- Đơn vị chủ trì: Ban Quản lý </w:t>
            </w:r>
            <w:r>
              <w:rPr>
                <w:sz w:val="26"/>
                <w:szCs w:val="26"/>
              </w:rPr>
              <w:br w:type="textWrapping"/>
            </w:r>
            <w:r>
              <w:rPr>
                <w:sz w:val="26"/>
                <w:szCs w:val="26"/>
              </w:rPr>
              <w:t xml:space="preserve">dự án ĐTXD </w:t>
            </w:r>
            <w:r>
              <w:rPr>
                <w:sz w:val="26"/>
                <w:szCs w:val="26"/>
              </w:rPr>
              <w:br w:type="textWrapping"/>
            </w:r>
            <w:r>
              <w:rPr>
                <w:sz w:val="26"/>
                <w:szCs w:val="26"/>
              </w:rPr>
              <w:t>Hạ tầng đô thị</w:t>
            </w:r>
          </w:p>
        </w:tc>
        <w:tc>
          <w:tcPr>
            <w:tcW w:w="3178" w:type="dxa"/>
            <w:vAlign w:val="center"/>
          </w:tcPr>
          <w:p w14:paraId="5A63CD67">
            <w:pPr>
              <w:spacing w:line="240" w:lineRule="auto"/>
              <w:ind w:left="1" w:hanging="3"/>
              <w:jc w:val="both"/>
              <w:rPr>
                <w:sz w:val="26"/>
                <w:szCs w:val="26"/>
              </w:rPr>
            </w:pPr>
            <w:r>
              <w:rPr>
                <w:sz w:val="26"/>
                <w:szCs w:val="26"/>
              </w:rPr>
              <w:t>Kiểm soát ngập do triều, chủ động ứng phó biến đổi khí hậu cho diện tích 750 km với khoảng 6,5 triệu dân thuộc khu bờ hữu sông Sài Gòn và trung tâm Thành phố.</w:t>
            </w:r>
          </w:p>
        </w:tc>
        <w:tc>
          <w:tcPr>
            <w:tcW w:w="1689" w:type="dxa"/>
            <w:vAlign w:val="center"/>
          </w:tcPr>
          <w:p w14:paraId="41CBC8A0">
            <w:pPr>
              <w:spacing w:line="240" w:lineRule="auto"/>
              <w:ind w:left="1" w:hanging="3"/>
              <w:jc w:val="both"/>
              <w:rPr>
                <w:sz w:val="26"/>
                <w:szCs w:val="26"/>
              </w:rPr>
            </w:pPr>
            <w:r>
              <w:rPr>
                <w:sz w:val="26"/>
                <w:szCs w:val="26"/>
              </w:rPr>
              <w:t>Hoàn thành dịp 30/4/2025</w:t>
            </w:r>
          </w:p>
        </w:tc>
        <w:tc>
          <w:tcPr>
            <w:tcW w:w="4961" w:type="dxa"/>
            <w:vAlign w:val="center"/>
          </w:tcPr>
          <w:p w14:paraId="41DC84A8">
            <w:pPr>
              <w:spacing w:line="240" w:lineRule="auto"/>
              <w:ind w:left="0" w:leftChars="0" w:firstLine="0" w:firstLineChars="0"/>
              <w:jc w:val="both"/>
              <w:rPr>
                <w:sz w:val="26"/>
                <w:szCs w:val="26"/>
              </w:rPr>
            </w:pPr>
            <w:r>
              <w:rPr>
                <w:sz w:val="26"/>
                <w:szCs w:val="26"/>
              </w:rPr>
              <w:t xml:space="preserve">Dự án đã thi công hoàn thành đạt 93,33% khối lượng tổng thể dự án, hiện vướng mắc khi lập Phương án thanh toán cho Nhà đầu tư và phương án huy động nguồn vốn cho Nhà đầu tư vay để tiếp tục thi công hoàn thành dự án. Ủy ban nhân dân Thành phố đã có Thông báo số 805/TB-VP ngày 22 tháng 8 năm 2024 giao Sở Kế hoạch và Đầu tư, các thành viên Tổ Công tác theo Quyết định số 1970/QĐ-UBND ngày 18 tháng 5 năm 2023 của Ủy ban nhân dân Thành phố, Ngân hàng BIDV, Công ty Trung Nam khẩn trương xem xét các vướng mắc liên quan (Hợp đồng BT và Phụ lục Hợp đồng BT, căn cứ các quy định hiện hành, nghiên cứu đề xuất các giải pháp tháo gỡ vướng mắc cho dự án, nghiên cứu tỷ lệ thanh toán đất và tiền, </w:t>
            </w:r>
            <w:r>
              <w:rPr>
                <w:spacing w:val="-6"/>
                <w:sz w:val="26"/>
                <w:szCs w:val="26"/>
              </w:rPr>
              <w:t>thống nhất phương án xử lý phù hợp giữa các bên).</w:t>
            </w:r>
          </w:p>
        </w:tc>
        <w:tc>
          <w:tcPr>
            <w:tcW w:w="992" w:type="dxa"/>
            <w:gridSpan w:val="2"/>
            <w:vAlign w:val="center"/>
          </w:tcPr>
          <w:p w14:paraId="43D9F567">
            <w:pPr>
              <w:spacing w:line="240" w:lineRule="auto"/>
              <w:ind w:left="1" w:hanging="3"/>
              <w:jc w:val="center"/>
              <w:rPr>
                <w:sz w:val="26"/>
                <w:szCs w:val="26"/>
              </w:rPr>
            </w:pPr>
          </w:p>
        </w:tc>
      </w:tr>
      <w:tr w14:paraId="51C3A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F7DF6F3">
            <w:pPr>
              <w:pStyle w:val="139"/>
              <w:numPr>
                <w:ilvl w:val="0"/>
                <w:numId w:val="1"/>
              </w:numPr>
              <w:spacing w:line="240" w:lineRule="auto"/>
              <w:ind w:leftChars="0" w:firstLineChars="0"/>
              <w:jc w:val="both"/>
              <w:rPr>
                <w:sz w:val="26"/>
                <w:szCs w:val="26"/>
              </w:rPr>
            </w:pPr>
          </w:p>
        </w:tc>
        <w:tc>
          <w:tcPr>
            <w:tcW w:w="1834" w:type="dxa"/>
            <w:vAlign w:val="center"/>
          </w:tcPr>
          <w:p w14:paraId="3E777B27">
            <w:pPr>
              <w:spacing w:line="240" w:lineRule="auto"/>
              <w:ind w:left="1" w:hanging="3"/>
              <w:jc w:val="both"/>
              <w:rPr>
                <w:sz w:val="26"/>
                <w:szCs w:val="26"/>
              </w:rPr>
            </w:pPr>
            <w:r>
              <w:rPr>
                <w:sz w:val="26"/>
                <w:szCs w:val="26"/>
              </w:rPr>
              <w:t>Dự án Cải thiện hệ thống thoát nước, nước thải và thích ứng với biến đổi khí hậu tại lưu vực Tây Sài Gòn, Tham Lương - Bến Cát</w:t>
            </w:r>
          </w:p>
        </w:tc>
        <w:tc>
          <w:tcPr>
            <w:tcW w:w="2351" w:type="dxa"/>
            <w:vAlign w:val="center"/>
          </w:tcPr>
          <w:p w14:paraId="08BC6DD3">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3FCDE549">
            <w:pPr>
              <w:spacing w:line="240" w:lineRule="auto"/>
              <w:ind w:left="1" w:hanging="3"/>
              <w:jc w:val="both"/>
              <w:rPr>
                <w:sz w:val="26"/>
                <w:szCs w:val="26"/>
              </w:rPr>
            </w:pPr>
            <w:r>
              <w:rPr>
                <w:sz w:val="26"/>
                <w:szCs w:val="26"/>
              </w:rPr>
              <w:t xml:space="preserve">- Đơn vị chủ trì: Ban Quản lý </w:t>
            </w:r>
            <w:r>
              <w:rPr>
                <w:sz w:val="26"/>
                <w:szCs w:val="26"/>
              </w:rPr>
              <w:br w:type="textWrapping"/>
            </w:r>
            <w:r>
              <w:rPr>
                <w:sz w:val="26"/>
                <w:szCs w:val="26"/>
              </w:rPr>
              <w:t xml:space="preserve">dự án ĐTXD </w:t>
            </w:r>
            <w:r>
              <w:rPr>
                <w:sz w:val="26"/>
                <w:szCs w:val="26"/>
              </w:rPr>
              <w:br w:type="textWrapping"/>
            </w:r>
            <w:r>
              <w:rPr>
                <w:sz w:val="26"/>
                <w:szCs w:val="26"/>
              </w:rPr>
              <w:t>Hạ tầng đô thị</w:t>
            </w:r>
          </w:p>
        </w:tc>
        <w:tc>
          <w:tcPr>
            <w:tcW w:w="3178" w:type="dxa"/>
            <w:vAlign w:val="center"/>
          </w:tcPr>
          <w:p w14:paraId="58E1ECBF">
            <w:pPr>
              <w:spacing w:line="240" w:lineRule="auto"/>
              <w:ind w:left="1" w:hanging="3"/>
              <w:jc w:val="both"/>
              <w:rPr>
                <w:sz w:val="26"/>
                <w:szCs w:val="26"/>
              </w:rPr>
            </w:pPr>
            <w:r>
              <w:rPr>
                <w:sz w:val="26"/>
                <w:szCs w:val="26"/>
              </w:rPr>
              <w:t>Cải thiện hệ thống thoát nước mưa, nước thải, tăng khả năng tiêu thoát nước, giảm thiểu vấn đề ô nhiễm môi trường, ngập nước do yếu tố biến đổi khí hậu gây mưa, triều cường tại lưu vực Tây Sài Gòn  thông qua đầu tư xây dựng hệ thống thu gom nước thải, thoát nước chung cấp 2, 3, 4; xây dựng các giếng tách dòng và hệ thống cống bao dọc theo kênh Tham Lương - Bến Cát đến cuối lưu vực Tây Sài Gòn; xây dựng tuyến ống truyền tải từ lưu vực Tây Sài Gòn về nhà máy xử lý nước thải và hạ tầng phục vụ quản lý thoát nước, nước thải, đề xuất đầu tư dự án CRUS2.</w:t>
            </w:r>
          </w:p>
        </w:tc>
        <w:tc>
          <w:tcPr>
            <w:tcW w:w="1689" w:type="dxa"/>
            <w:vAlign w:val="center"/>
          </w:tcPr>
          <w:p w14:paraId="6E44434F">
            <w:pPr>
              <w:spacing w:line="240" w:lineRule="auto"/>
              <w:ind w:left="1" w:hanging="3"/>
              <w:jc w:val="both"/>
              <w:rPr>
                <w:sz w:val="26"/>
                <w:szCs w:val="26"/>
              </w:rPr>
            </w:pPr>
            <w:r>
              <w:rPr>
                <w:sz w:val="26"/>
                <w:szCs w:val="26"/>
              </w:rPr>
              <w:t>Khởi công dịp 30/4/2025</w:t>
            </w:r>
          </w:p>
        </w:tc>
        <w:tc>
          <w:tcPr>
            <w:tcW w:w="4961" w:type="dxa"/>
            <w:vAlign w:val="center"/>
          </w:tcPr>
          <w:p w14:paraId="4BD72B6E">
            <w:pPr>
              <w:spacing w:line="240" w:lineRule="auto"/>
              <w:ind w:left="1" w:hanging="3"/>
              <w:jc w:val="both"/>
              <w:rPr>
                <w:sz w:val="26"/>
                <w:szCs w:val="26"/>
              </w:rPr>
            </w:pPr>
            <w:r>
              <w:rPr>
                <w:sz w:val="26"/>
                <w:szCs w:val="26"/>
              </w:rPr>
              <w:t>Dự án Cải thiện hệ thống thoát nước, nước thải và thích ứng với biến đổi khí hậu tại lưu vực Tham Lương - Bến Cát (CRUS1)</w:t>
            </w:r>
          </w:p>
          <w:p w14:paraId="18A9ED03">
            <w:pPr>
              <w:spacing w:line="240" w:lineRule="auto"/>
              <w:ind w:left="1" w:hanging="3"/>
              <w:jc w:val="both"/>
              <w:rPr>
                <w:sz w:val="26"/>
                <w:szCs w:val="26"/>
              </w:rPr>
            </w:pPr>
            <w:r>
              <w:rPr>
                <w:sz w:val="26"/>
                <w:szCs w:val="26"/>
              </w:rPr>
              <w:t>Hiện đang trình Thủ tướng Chính phủ phê duyệt chủ trương đầu tư dự án, cụ thể:</w:t>
            </w:r>
          </w:p>
          <w:p w14:paraId="49F63B98">
            <w:pPr>
              <w:spacing w:line="240" w:lineRule="auto"/>
              <w:ind w:left="1" w:hanging="3"/>
              <w:jc w:val="both"/>
              <w:rPr>
                <w:sz w:val="26"/>
                <w:szCs w:val="26"/>
              </w:rPr>
            </w:pPr>
            <w:r>
              <w:rPr>
                <w:sz w:val="26"/>
                <w:szCs w:val="26"/>
              </w:rPr>
              <w:t xml:space="preserve">- Ngày 22 tháng 5 năm 2024, Ủy ban nhân dân Thành phố có Tờ trình số 2846/TTr-UBND trình Thủ tướng Chính phủ về quyết định chủ trương đầu tư dự án CRUS1. </w:t>
            </w:r>
          </w:p>
          <w:p w14:paraId="06591635">
            <w:pPr>
              <w:spacing w:line="240" w:lineRule="auto"/>
              <w:ind w:left="1" w:hanging="3"/>
              <w:jc w:val="both"/>
              <w:rPr>
                <w:sz w:val="26"/>
                <w:szCs w:val="26"/>
              </w:rPr>
            </w:pPr>
            <w:r>
              <w:rPr>
                <w:sz w:val="26"/>
                <w:szCs w:val="26"/>
              </w:rPr>
              <w:t>- Ngày 21 tháng 6 năm 2024, Ủy ban nhân dân Thành phố có văn bản số 3466/UBND-QLDA bổ sung hồ sơ dự án CRUS1.</w:t>
            </w:r>
          </w:p>
          <w:p w14:paraId="22B59685">
            <w:pPr>
              <w:spacing w:line="240" w:lineRule="auto"/>
              <w:ind w:left="1" w:hanging="3"/>
              <w:jc w:val="both"/>
              <w:rPr>
                <w:sz w:val="26"/>
                <w:szCs w:val="26"/>
              </w:rPr>
            </w:pPr>
            <w:r>
              <w:rPr>
                <w:sz w:val="26"/>
                <w:szCs w:val="26"/>
              </w:rPr>
              <w:t>- Ngày 25 tháng 7 năm 2024, Văn phòng Chính phủ có văn bản số 5205/VPCP-QHQT giao Bộ Kế hoạch và Đầu tư chủ trì phối hợp với các Bộ ngành Trung ương về hồ sơ PFS.</w:t>
            </w:r>
          </w:p>
          <w:p w14:paraId="2B5C26B0">
            <w:pPr>
              <w:spacing w:line="240" w:lineRule="auto"/>
              <w:ind w:left="1" w:hanging="3"/>
              <w:jc w:val="both"/>
              <w:rPr>
                <w:sz w:val="26"/>
                <w:szCs w:val="26"/>
              </w:rPr>
            </w:pPr>
            <w:r>
              <w:rPr>
                <w:sz w:val="26"/>
                <w:szCs w:val="26"/>
              </w:rPr>
              <w:t>- Ngày 13 tháng 8 năm 2024 BKHĐT có văn bản 6411/BKHĐT-GSTĐĐT gửi các Bộ ngành lấy ý kiến về hồ sơ PFS trình Thủ tướng. Hiện nay, các Bộ ngành đang xem xét hồ sơ.</w:t>
            </w:r>
          </w:p>
          <w:p w14:paraId="0944F486">
            <w:pPr>
              <w:spacing w:line="240" w:lineRule="auto"/>
              <w:ind w:left="1" w:hanging="3"/>
              <w:jc w:val="both"/>
              <w:rPr>
                <w:sz w:val="26"/>
                <w:szCs w:val="26"/>
              </w:rPr>
            </w:pPr>
            <w:r>
              <w:rPr>
                <w:sz w:val="26"/>
                <w:szCs w:val="26"/>
              </w:rPr>
              <w:t>Dự án Cải thiện hệ thống thoát nước, nước thải và thích ứng với biến đổi khí hậu tại lưu vực Tây Sài Gòn (CRUS2)</w:t>
            </w:r>
          </w:p>
          <w:p w14:paraId="35657034">
            <w:pPr>
              <w:spacing w:line="240" w:lineRule="auto"/>
              <w:ind w:left="1" w:hanging="3"/>
              <w:jc w:val="both"/>
              <w:rPr>
                <w:sz w:val="26"/>
                <w:szCs w:val="26"/>
              </w:rPr>
            </w:pPr>
            <w:r>
              <w:rPr>
                <w:sz w:val="26"/>
                <w:szCs w:val="26"/>
              </w:rPr>
              <w:t>Hiện đang trình Thủ tướng Chính phủ phê duyệt chủ trương đầu tư dự án, cụ thể:</w:t>
            </w:r>
          </w:p>
          <w:p w14:paraId="0F8E4539">
            <w:pPr>
              <w:spacing w:line="240" w:lineRule="auto"/>
              <w:ind w:left="1" w:hanging="3"/>
              <w:jc w:val="both"/>
              <w:rPr>
                <w:sz w:val="26"/>
                <w:szCs w:val="26"/>
              </w:rPr>
            </w:pPr>
            <w:r>
              <w:rPr>
                <w:sz w:val="26"/>
                <w:szCs w:val="26"/>
              </w:rPr>
              <w:t>- Ngày 22 tháng 5 năm 2024, Ủy ban nhân dân Thành phố có Tờ trình số 2847/TTr-UBND trình Thủ tướng Chính phủ về quyết định chủ trương đầu tư dự án CRUS2.</w:t>
            </w:r>
          </w:p>
          <w:p w14:paraId="60025660">
            <w:pPr>
              <w:spacing w:line="240" w:lineRule="auto"/>
              <w:ind w:left="1" w:hanging="3"/>
              <w:jc w:val="both"/>
              <w:rPr>
                <w:sz w:val="26"/>
                <w:szCs w:val="26"/>
              </w:rPr>
            </w:pPr>
            <w:r>
              <w:rPr>
                <w:sz w:val="26"/>
                <w:szCs w:val="26"/>
              </w:rPr>
              <w:t>- Ngày 21 tháng 6 năm 2024, Ủy ban nhân dân Thành phố có văn bản số 3465/UBND-QLDA bổ sung hồ sơ dự án CRUS2.</w:t>
            </w:r>
          </w:p>
          <w:p w14:paraId="54B88354">
            <w:pPr>
              <w:spacing w:line="240" w:lineRule="auto"/>
              <w:ind w:left="1" w:hanging="3"/>
              <w:jc w:val="both"/>
              <w:rPr>
                <w:sz w:val="26"/>
                <w:szCs w:val="26"/>
              </w:rPr>
            </w:pPr>
            <w:r>
              <w:rPr>
                <w:sz w:val="26"/>
                <w:szCs w:val="26"/>
              </w:rPr>
              <w:t xml:space="preserve"> - Ngày 25 tháng 7 năm 2024, Văn phòng Chính phủ có văn bản số 5206/VPCP-QHQT giao Bộ Kế hoạch và Đầu tư chủ trì phối hợp với các Bộ ngành Trung ương về hồ sơ PFS.</w:t>
            </w:r>
          </w:p>
          <w:p w14:paraId="45932148">
            <w:pPr>
              <w:spacing w:line="240" w:lineRule="auto"/>
              <w:ind w:left="1" w:hanging="3"/>
              <w:jc w:val="both"/>
              <w:rPr>
                <w:sz w:val="26"/>
                <w:szCs w:val="26"/>
              </w:rPr>
            </w:pPr>
            <w:r>
              <w:rPr>
                <w:sz w:val="26"/>
                <w:szCs w:val="26"/>
              </w:rPr>
              <w:t>- Ngày 13 tháng 8 năm 2024 Bộ Kế hoạch và Đầu tư có văn bản số 6409/BKHĐT-GSTĐĐT gửi các Bộ ngành lấy ý kiến về hồ sơ PFS trình Thủ tướng. Hiện nay, các Bộ ngành đang xem xét hồ sơ.</w:t>
            </w:r>
          </w:p>
        </w:tc>
        <w:tc>
          <w:tcPr>
            <w:tcW w:w="992" w:type="dxa"/>
            <w:gridSpan w:val="2"/>
            <w:vAlign w:val="center"/>
          </w:tcPr>
          <w:p w14:paraId="387092FC">
            <w:pPr>
              <w:spacing w:line="240" w:lineRule="auto"/>
              <w:ind w:left="1" w:hanging="3"/>
              <w:jc w:val="center"/>
              <w:rPr>
                <w:sz w:val="26"/>
                <w:szCs w:val="26"/>
              </w:rPr>
            </w:pPr>
          </w:p>
        </w:tc>
      </w:tr>
      <w:tr w14:paraId="0E77E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58F0DE89">
            <w:pPr>
              <w:pStyle w:val="139"/>
              <w:numPr>
                <w:ilvl w:val="0"/>
                <w:numId w:val="1"/>
              </w:numPr>
              <w:spacing w:line="240" w:lineRule="auto"/>
              <w:ind w:leftChars="0" w:firstLineChars="0"/>
              <w:jc w:val="both"/>
              <w:rPr>
                <w:sz w:val="26"/>
                <w:szCs w:val="26"/>
              </w:rPr>
            </w:pPr>
          </w:p>
        </w:tc>
        <w:tc>
          <w:tcPr>
            <w:tcW w:w="1834" w:type="dxa"/>
            <w:vAlign w:val="center"/>
          </w:tcPr>
          <w:p w14:paraId="2B9602AA">
            <w:pPr>
              <w:spacing w:line="240" w:lineRule="auto"/>
              <w:ind w:left="1" w:hanging="3"/>
              <w:jc w:val="both"/>
              <w:rPr>
                <w:sz w:val="26"/>
                <w:szCs w:val="26"/>
              </w:rPr>
            </w:pPr>
            <w:r>
              <w:rPr>
                <w:sz w:val="26"/>
                <w:szCs w:val="26"/>
              </w:rPr>
              <w:t>Dự án Xây dựng hạ tầng và cải tạo môi trường kênh Tham Lương - Bến Cát Nước Lên</w:t>
            </w:r>
          </w:p>
        </w:tc>
        <w:tc>
          <w:tcPr>
            <w:tcW w:w="2351" w:type="dxa"/>
            <w:vAlign w:val="center"/>
          </w:tcPr>
          <w:p w14:paraId="34F105E1">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1D7B6594">
            <w:pPr>
              <w:spacing w:line="240" w:lineRule="auto"/>
              <w:ind w:left="1" w:hanging="3"/>
              <w:jc w:val="both"/>
              <w:rPr>
                <w:sz w:val="26"/>
                <w:szCs w:val="26"/>
              </w:rPr>
            </w:pPr>
            <w:r>
              <w:rPr>
                <w:sz w:val="26"/>
                <w:szCs w:val="26"/>
              </w:rPr>
              <w:t>- Đơn vị chủ trì: Ban Quản lý dự án ĐTXD Hạ tầng đô thị</w:t>
            </w:r>
          </w:p>
        </w:tc>
        <w:tc>
          <w:tcPr>
            <w:tcW w:w="3178" w:type="dxa"/>
            <w:vAlign w:val="center"/>
          </w:tcPr>
          <w:p w14:paraId="21F49444">
            <w:pPr>
              <w:spacing w:line="240" w:lineRule="auto"/>
              <w:ind w:left="1" w:hanging="3"/>
              <w:jc w:val="both"/>
              <w:rPr>
                <w:sz w:val="26"/>
                <w:szCs w:val="26"/>
              </w:rPr>
            </w:pPr>
            <w:r>
              <w:rPr>
                <w:sz w:val="26"/>
                <w:szCs w:val="26"/>
              </w:rPr>
              <w:t>Giải quyết 03 tiêu chí lớn của Thành phố là giảm ngập nước, giải quyết ô nhiễm môi trường, giải quyết ùn tắc giao thông.</w:t>
            </w:r>
          </w:p>
        </w:tc>
        <w:tc>
          <w:tcPr>
            <w:tcW w:w="1689" w:type="dxa"/>
            <w:vAlign w:val="center"/>
          </w:tcPr>
          <w:p w14:paraId="3EE8C2B4">
            <w:pPr>
              <w:spacing w:line="240" w:lineRule="auto"/>
              <w:ind w:left="1" w:hanging="3"/>
              <w:jc w:val="both"/>
              <w:rPr>
                <w:sz w:val="26"/>
                <w:szCs w:val="26"/>
              </w:rPr>
            </w:pPr>
            <w:r>
              <w:rPr>
                <w:sz w:val="26"/>
                <w:szCs w:val="26"/>
              </w:rPr>
              <w:t>Hoàn thành dịp 30/4/2025</w:t>
            </w:r>
          </w:p>
        </w:tc>
        <w:tc>
          <w:tcPr>
            <w:tcW w:w="4961" w:type="dxa"/>
            <w:vAlign w:val="center"/>
          </w:tcPr>
          <w:p w14:paraId="0282509B">
            <w:pPr>
              <w:spacing w:line="240" w:lineRule="auto"/>
              <w:ind w:left="1" w:hanging="3"/>
              <w:jc w:val="both"/>
              <w:rPr>
                <w:sz w:val="26"/>
                <w:szCs w:val="26"/>
              </w:rPr>
            </w:pPr>
            <w:r>
              <w:rPr>
                <w:sz w:val="26"/>
                <w:szCs w:val="26"/>
              </w:rPr>
              <w:t>1. Tiến độ thi công</w:t>
            </w:r>
          </w:p>
          <w:p w14:paraId="5C5AFC49">
            <w:pPr>
              <w:spacing w:line="240" w:lineRule="auto"/>
              <w:ind w:left="1" w:hanging="3"/>
              <w:jc w:val="both"/>
              <w:rPr>
                <w:sz w:val="26"/>
                <w:szCs w:val="26"/>
              </w:rPr>
            </w:pPr>
            <w:r>
              <w:rPr>
                <w:sz w:val="26"/>
                <w:szCs w:val="26"/>
              </w:rPr>
              <w:t>Dự án bao gồm 10 gói thầu Xây lắp, tiến độ chung của toàn dự án cụ thể như sau:</w:t>
            </w:r>
          </w:p>
          <w:p w14:paraId="298D5C48">
            <w:pPr>
              <w:spacing w:line="240" w:lineRule="auto"/>
              <w:ind w:left="1" w:hanging="3"/>
              <w:jc w:val="both"/>
              <w:rPr>
                <w:sz w:val="26"/>
                <w:szCs w:val="26"/>
              </w:rPr>
            </w:pPr>
            <w:r>
              <w:rPr>
                <w:sz w:val="26"/>
                <w:szCs w:val="26"/>
              </w:rPr>
              <w:t>- Hạng mục xây dựng kè bờ kênh (rung hạ cừ ván bê tông dự ứng lực SW): 75,12% (45.010cây/ 59.917 cây).</w:t>
            </w:r>
          </w:p>
          <w:p w14:paraId="2F1A05E2">
            <w:pPr>
              <w:spacing w:line="240" w:lineRule="auto"/>
              <w:ind w:left="1" w:hanging="3"/>
              <w:jc w:val="both"/>
              <w:rPr>
                <w:sz w:val="26"/>
                <w:szCs w:val="26"/>
              </w:rPr>
            </w:pPr>
            <w:r>
              <w:rPr>
                <w:sz w:val="26"/>
                <w:szCs w:val="26"/>
              </w:rPr>
              <w:t>- Hạng mục thi công cọc bê tông ly tâm ứng suất trước: 68,38% (266.075m/389.115m).</w:t>
            </w:r>
          </w:p>
          <w:p w14:paraId="14606CC5">
            <w:pPr>
              <w:spacing w:line="240" w:lineRule="auto"/>
              <w:ind w:left="1" w:hanging="3"/>
              <w:jc w:val="both"/>
              <w:rPr>
                <w:sz w:val="26"/>
                <w:szCs w:val="26"/>
              </w:rPr>
            </w:pPr>
            <w:r>
              <w:rPr>
                <w:sz w:val="26"/>
                <w:szCs w:val="26"/>
              </w:rPr>
              <w:t>- Hạng mục xử lý nền đất yếu bằng cọc xi măng đất (CDM): 58,97% (422.051m/715.652m); thi công bê tông M150 đá 1x2: 28,05% (26.831m3/96.651m3).</w:t>
            </w:r>
          </w:p>
          <w:p w14:paraId="523987D9">
            <w:pPr>
              <w:spacing w:line="240" w:lineRule="auto"/>
              <w:ind w:left="1" w:hanging="3"/>
              <w:jc w:val="both"/>
              <w:rPr>
                <w:sz w:val="26"/>
                <w:szCs w:val="26"/>
              </w:rPr>
            </w:pPr>
            <w:r>
              <w:rPr>
                <w:sz w:val="26"/>
                <w:szCs w:val="26"/>
              </w:rPr>
              <w:t>- Hạng mục xây dựng các cống cấp 2: đã triển khai thi công hoàn thành thân cống 19/22 cống; 03/22 cống đang triển khai thi công.</w:t>
            </w:r>
          </w:p>
          <w:p w14:paraId="041D7836">
            <w:pPr>
              <w:spacing w:line="240" w:lineRule="auto"/>
              <w:ind w:left="1" w:hanging="3"/>
              <w:jc w:val="both"/>
              <w:rPr>
                <w:sz w:val="26"/>
                <w:szCs w:val="26"/>
              </w:rPr>
            </w:pPr>
            <w:r>
              <w:rPr>
                <w:sz w:val="26"/>
                <w:szCs w:val="26"/>
              </w:rPr>
              <w:t>- Hạng mục lắp đặt cống thoát nước các loại: 19,19% (10.573md/55.085md).</w:t>
            </w:r>
          </w:p>
          <w:p w14:paraId="79996410">
            <w:pPr>
              <w:spacing w:line="240" w:lineRule="auto"/>
              <w:ind w:left="1" w:hanging="3"/>
              <w:jc w:val="both"/>
              <w:rPr>
                <w:sz w:val="26"/>
                <w:szCs w:val="26"/>
              </w:rPr>
            </w:pPr>
            <w:r>
              <w:rPr>
                <w:sz w:val="26"/>
                <w:szCs w:val="26"/>
              </w:rPr>
              <w:t>- Hạng mục lắp đặt hố ga: 7,69% (224 cái/2.913 cái).</w:t>
            </w:r>
          </w:p>
          <w:p w14:paraId="0CA0BFB6">
            <w:pPr>
              <w:spacing w:line="240" w:lineRule="auto"/>
              <w:ind w:left="1" w:hanging="3"/>
              <w:jc w:val="both"/>
              <w:rPr>
                <w:sz w:val="26"/>
                <w:szCs w:val="26"/>
              </w:rPr>
            </w:pPr>
            <w:r>
              <w:rPr>
                <w:sz w:val="26"/>
                <w:szCs w:val="26"/>
              </w:rPr>
              <w:t>- Hạng mục lắp đặt hào kỹ thuật: 21,72% (9.327 cái/42.947 cái).</w:t>
            </w:r>
          </w:p>
          <w:p w14:paraId="0DE77360">
            <w:pPr>
              <w:spacing w:line="240" w:lineRule="auto"/>
              <w:ind w:left="1" w:hanging="3"/>
              <w:jc w:val="both"/>
              <w:rPr>
                <w:sz w:val="26"/>
                <w:szCs w:val="26"/>
              </w:rPr>
            </w:pPr>
            <w:r>
              <w:rPr>
                <w:sz w:val="26"/>
                <w:szCs w:val="26"/>
              </w:rPr>
              <w:t>2. Về công tác giải ngân năm 2024:</w:t>
            </w:r>
          </w:p>
          <w:p w14:paraId="0341DD94">
            <w:pPr>
              <w:spacing w:line="240" w:lineRule="auto"/>
              <w:ind w:left="1" w:hanging="3"/>
              <w:jc w:val="both"/>
              <w:rPr>
                <w:sz w:val="26"/>
                <w:szCs w:val="26"/>
              </w:rPr>
            </w:pPr>
            <w:r>
              <w:rPr>
                <w:sz w:val="26"/>
                <w:szCs w:val="26"/>
              </w:rPr>
              <w:t>- Kế hoạch vốn năm 2024: 2.300 tỷ (Trong đó: Ngân sách Trung ương: 1.500 tỷ, Ngân sách thành phố: 800 tỷ)</w:t>
            </w:r>
          </w:p>
          <w:p w14:paraId="10DE36FB">
            <w:pPr>
              <w:spacing w:line="240" w:lineRule="auto"/>
              <w:ind w:left="1" w:hanging="3"/>
              <w:rPr>
                <w:sz w:val="26"/>
                <w:szCs w:val="26"/>
              </w:rPr>
            </w:pPr>
            <w:r>
              <w:rPr>
                <w:sz w:val="26"/>
                <w:szCs w:val="26"/>
              </w:rPr>
              <w:t>- Hiện nay, đã giải ngân được 577,991 tỷ đồng/2.300 tỷ đồng, đạt tỷ lệ 25,13%.</w:t>
            </w:r>
          </w:p>
        </w:tc>
        <w:tc>
          <w:tcPr>
            <w:tcW w:w="992" w:type="dxa"/>
            <w:gridSpan w:val="2"/>
            <w:vAlign w:val="center"/>
          </w:tcPr>
          <w:p w14:paraId="37F00837">
            <w:pPr>
              <w:spacing w:line="240" w:lineRule="auto"/>
              <w:ind w:left="1" w:hanging="3"/>
              <w:jc w:val="center"/>
              <w:rPr>
                <w:sz w:val="26"/>
                <w:szCs w:val="26"/>
              </w:rPr>
            </w:pPr>
          </w:p>
        </w:tc>
      </w:tr>
      <w:tr w14:paraId="47080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8BE3994">
            <w:pPr>
              <w:pStyle w:val="139"/>
              <w:numPr>
                <w:ilvl w:val="0"/>
                <w:numId w:val="1"/>
              </w:numPr>
              <w:spacing w:line="240" w:lineRule="auto"/>
              <w:ind w:leftChars="0" w:firstLineChars="0"/>
              <w:jc w:val="both"/>
              <w:rPr>
                <w:sz w:val="26"/>
                <w:szCs w:val="26"/>
              </w:rPr>
            </w:pPr>
          </w:p>
        </w:tc>
        <w:tc>
          <w:tcPr>
            <w:tcW w:w="1834" w:type="dxa"/>
            <w:vAlign w:val="center"/>
          </w:tcPr>
          <w:p w14:paraId="24B3BE7B">
            <w:pPr>
              <w:spacing w:line="240" w:lineRule="auto"/>
              <w:ind w:left="1" w:hanging="3"/>
              <w:jc w:val="both"/>
              <w:rPr>
                <w:sz w:val="26"/>
                <w:szCs w:val="26"/>
              </w:rPr>
            </w:pPr>
            <w:r>
              <w:rPr>
                <w:sz w:val="26"/>
                <w:szCs w:val="26"/>
              </w:rPr>
              <w:t>Dự án Khu Bình Quới - Thanh Đa</w:t>
            </w:r>
          </w:p>
        </w:tc>
        <w:tc>
          <w:tcPr>
            <w:tcW w:w="2351" w:type="dxa"/>
            <w:vAlign w:val="center"/>
          </w:tcPr>
          <w:p w14:paraId="1E9F34C0">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5CB768D7">
            <w:pPr>
              <w:spacing w:line="240" w:lineRule="auto"/>
              <w:ind w:left="1" w:hanging="3"/>
              <w:jc w:val="center"/>
              <w:rPr>
                <w:sz w:val="26"/>
                <w:szCs w:val="26"/>
              </w:rPr>
            </w:pPr>
            <w:r>
              <w:rPr>
                <w:sz w:val="26"/>
                <w:szCs w:val="26"/>
              </w:rPr>
              <w:t>- Đơn vị chủ trì: Sở Kế hoạch và Đầu tư</w:t>
            </w:r>
          </w:p>
        </w:tc>
        <w:tc>
          <w:tcPr>
            <w:tcW w:w="3178" w:type="dxa"/>
            <w:vAlign w:val="center"/>
          </w:tcPr>
          <w:p w14:paraId="033DD7B3">
            <w:pPr>
              <w:spacing w:line="240" w:lineRule="auto"/>
              <w:ind w:left="1" w:hanging="3"/>
              <w:jc w:val="both"/>
              <w:rPr>
                <w:sz w:val="26"/>
                <w:szCs w:val="26"/>
              </w:rPr>
            </w:pPr>
            <w:r>
              <w:rPr>
                <w:sz w:val="26"/>
                <w:szCs w:val="26"/>
              </w:rPr>
              <w:t>Góp phần hạn chế vấn đề quy hoạch kéo dài tại khu vực đầu tư dự án, tạo môi trường sống có chất lượng cho người dân; góp phần huy động nguồn vốn đầu tư trong và ngoài nước, tạo sự phát triển chung của quận Bình Thạnh và Thành phố; góp phần tạo ra việc làm cho phần lớn khối lượng người lao động khi thực hiện dự án; tạo nguồn thuế đóng góp cho xã hội; góp phần tăng trưởng kinh tế của Thành phố.</w:t>
            </w:r>
          </w:p>
        </w:tc>
        <w:tc>
          <w:tcPr>
            <w:tcW w:w="1689" w:type="dxa"/>
            <w:vAlign w:val="center"/>
          </w:tcPr>
          <w:p w14:paraId="7688AE76">
            <w:pPr>
              <w:spacing w:line="240" w:lineRule="auto"/>
              <w:ind w:left="1" w:hanging="3"/>
              <w:jc w:val="both"/>
              <w:rPr>
                <w:sz w:val="26"/>
                <w:szCs w:val="26"/>
              </w:rPr>
            </w:pPr>
            <w:r>
              <w:rPr>
                <w:sz w:val="26"/>
                <w:szCs w:val="26"/>
              </w:rPr>
              <w:t>Dự kiến đến ngày 30/4/2025 sẽ hoàn thành việc tổ chức đấu thầu lựa chọn Nhà đầu tư</w:t>
            </w:r>
          </w:p>
        </w:tc>
        <w:tc>
          <w:tcPr>
            <w:tcW w:w="4961" w:type="dxa"/>
            <w:vAlign w:val="center"/>
          </w:tcPr>
          <w:p w14:paraId="7499ED29">
            <w:pPr>
              <w:spacing w:line="240" w:lineRule="auto"/>
              <w:ind w:left="1" w:hanging="3"/>
              <w:jc w:val="both"/>
              <w:rPr>
                <w:sz w:val="26"/>
                <w:szCs w:val="26"/>
              </w:rPr>
            </w:pPr>
            <w:r>
              <w:rPr>
                <w:sz w:val="26"/>
                <w:szCs w:val="26"/>
              </w:rPr>
              <w:t>- Đã tham mưu Ủy ban nhân dân Thành phố ban hành Quyết định số 5111/QĐ-UBND phê duyệt Kế hoạch tổ chức “Thi tuyển quốc tế ý tưởng quy hoạch - kiến trúc bán đảo Bình Quới - Thanh Đa”.</w:t>
            </w:r>
          </w:p>
          <w:p w14:paraId="502C3E3F">
            <w:pPr>
              <w:spacing w:line="240" w:lineRule="auto"/>
              <w:ind w:left="1" w:hanging="3"/>
              <w:jc w:val="both"/>
              <w:rPr>
                <w:sz w:val="26"/>
                <w:szCs w:val="26"/>
              </w:rPr>
            </w:pPr>
            <w:r>
              <w:rPr>
                <w:sz w:val="26"/>
                <w:szCs w:val="26"/>
              </w:rPr>
              <w:t xml:space="preserve">- Đồng thời, triển khai dự án Khu Đô thị Bình Quới - Thanh Đa đến các sở, ngành liên quan. </w:t>
            </w:r>
          </w:p>
          <w:p w14:paraId="4C5CD692">
            <w:pPr>
              <w:spacing w:line="240" w:lineRule="auto"/>
              <w:ind w:left="1" w:hanging="3"/>
              <w:jc w:val="both"/>
              <w:rPr>
                <w:sz w:val="26"/>
                <w:szCs w:val="26"/>
              </w:rPr>
            </w:pPr>
            <w:r>
              <w:rPr>
                <w:sz w:val="26"/>
                <w:szCs w:val="26"/>
              </w:rPr>
              <w:t>- Sau khi Đồ án điều chỉnh quy hoạch được phê duyệt và phương án đấu thầu lựa chọn nhà đầu tư được Ủy ban nhân dân Thành phố thông qua, Sở Kế hoạch và Đầu tư sẽ chủ trì, phối hợp các sở ngành để triển khai các thủ tục theo quy định.</w:t>
            </w:r>
          </w:p>
        </w:tc>
        <w:tc>
          <w:tcPr>
            <w:tcW w:w="992" w:type="dxa"/>
            <w:gridSpan w:val="2"/>
            <w:vAlign w:val="center"/>
          </w:tcPr>
          <w:p w14:paraId="20A07728">
            <w:pPr>
              <w:spacing w:line="240" w:lineRule="auto"/>
              <w:ind w:left="1" w:hanging="3"/>
              <w:jc w:val="center"/>
              <w:rPr>
                <w:sz w:val="26"/>
                <w:szCs w:val="26"/>
              </w:rPr>
            </w:pPr>
          </w:p>
        </w:tc>
      </w:tr>
      <w:tr w14:paraId="75EA2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99D0F0D">
            <w:pPr>
              <w:pStyle w:val="139"/>
              <w:numPr>
                <w:ilvl w:val="0"/>
                <w:numId w:val="1"/>
              </w:numPr>
              <w:spacing w:line="240" w:lineRule="auto"/>
              <w:ind w:leftChars="0" w:firstLineChars="0"/>
              <w:jc w:val="both"/>
              <w:rPr>
                <w:sz w:val="26"/>
                <w:szCs w:val="26"/>
              </w:rPr>
            </w:pPr>
          </w:p>
        </w:tc>
        <w:tc>
          <w:tcPr>
            <w:tcW w:w="1834" w:type="dxa"/>
            <w:vAlign w:val="center"/>
          </w:tcPr>
          <w:p w14:paraId="39572B55">
            <w:pPr>
              <w:spacing w:line="240" w:lineRule="auto"/>
              <w:ind w:left="1" w:hanging="3"/>
              <w:jc w:val="both"/>
              <w:rPr>
                <w:sz w:val="26"/>
                <w:szCs w:val="26"/>
              </w:rPr>
            </w:pPr>
            <w:r>
              <w:rPr>
                <w:sz w:val="26"/>
                <w:szCs w:val="26"/>
              </w:rPr>
              <w:t>Dự án cầu đi bộ Thủ Thiêm, Quận 1</w:t>
            </w:r>
          </w:p>
        </w:tc>
        <w:tc>
          <w:tcPr>
            <w:tcW w:w="2351" w:type="dxa"/>
            <w:vAlign w:val="center"/>
          </w:tcPr>
          <w:p w14:paraId="60262BE7">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336F1675">
            <w:pPr>
              <w:spacing w:line="240" w:lineRule="auto"/>
              <w:ind w:left="1" w:hanging="3"/>
              <w:jc w:val="center"/>
              <w:rPr>
                <w:sz w:val="26"/>
                <w:szCs w:val="26"/>
              </w:rPr>
            </w:pPr>
            <w:r>
              <w:rPr>
                <w:sz w:val="26"/>
                <w:szCs w:val="26"/>
              </w:rPr>
              <w:t>- Đơn vị chủ trì: Sở Giao thông vận tải</w:t>
            </w:r>
          </w:p>
        </w:tc>
        <w:tc>
          <w:tcPr>
            <w:tcW w:w="3178" w:type="dxa"/>
            <w:vAlign w:val="center"/>
          </w:tcPr>
          <w:p w14:paraId="47BD62AA">
            <w:pPr>
              <w:spacing w:line="240" w:lineRule="auto"/>
              <w:ind w:left="1" w:hanging="3"/>
              <w:jc w:val="both"/>
              <w:rPr>
                <w:sz w:val="26"/>
                <w:szCs w:val="26"/>
              </w:rPr>
            </w:pPr>
            <w:r>
              <w:rPr>
                <w:sz w:val="26"/>
                <w:szCs w:val="26"/>
              </w:rPr>
              <w:t>Công trình có ý nghĩa quan trọng về chính trị, kinh tế và văn hóa; là một phần diện mạo của một Khu đô thị mới văn minh, hiện đại; việc sớm hoàn thành dự án có ý nghĩa to lớn đối với sự phát triển của Khu đô thị mới Thủ Thiêm; gắn kết tương tác mật thiết với dự án Quảng trường trung tâm và Công viên bờ sông trong khu đô thị mới Thủ Thiêm bởi đầu tư xây dựng dự án sẽ tiết kiệm chi phí đầu tư, giảm thiểu tác động môi trường, tạo sự đồng bộ, gia tăng hiệu quả kinh tế cho Khu đô thị mới Thủ Thiêm.</w:t>
            </w:r>
          </w:p>
        </w:tc>
        <w:tc>
          <w:tcPr>
            <w:tcW w:w="1689" w:type="dxa"/>
            <w:vAlign w:val="center"/>
          </w:tcPr>
          <w:p w14:paraId="477EFDA2">
            <w:pPr>
              <w:spacing w:line="240" w:lineRule="auto"/>
              <w:ind w:left="1" w:hanging="3"/>
              <w:jc w:val="both"/>
              <w:rPr>
                <w:sz w:val="26"/>
                <w:szCs w:val="26"/>
              </w:rPr>
            </w:pPr>
            <w:r>
              <w:rPr>
                <w:sz w:val="26"/>
                <w:szCs w:val="26"/>
              </w:rPr>
              <w:t>Khởi công dịp 30/4/2025</w:t>
            </w:r>
          </w:p>
        </w:tc>
        <w:tc>
          <w:tcPr>
            <w:tcW w:w="4961" w:type="dxa"/>
            <w:vAlign w:val="center"/>
          </w:tcPr>
          <w:p w14:paraId="6DD4FC93">
            <w:pPr>
              <w:spacing w:line="240" w:lineRule="auto"/>
              <w:ind w:left="1" w:hanging="3"/>
              <w:jc w:val="both"/>
              <w:rPr>
                <w:sz w:val="26"/>
                <w:szCs w:val="26"/>
              </w:rPr>
            </w:pPr>
            <w:r>
              <w:rPr>
                <w:sz w:val="26"/>
                <w:szCs w:val="26"/>
              </w:rPr>
              <w:t>Thực hiện chỉ đạo của Ủy ban nhân dân Thành phố, ngày 04 tháng 12 năm 2023, Sở Giao thông vận tải và Công ty Cổ phần Thực phẩm Dinh dưỡng Nutifood đã ký kết Biên bản thỏa thuận tài trợ về tài trợ công trình Cầu đi bộ qua sông Sài Gòn (kết nối công viên Bến Bạch Đằng, Quận 1 với Công viên bờ sông Khu đô thị mới Thủ Thiêm, thành phố Thủ Đức).</w:t>
            </w:r>
          </w:p>
          <w:p w14:paraId="1EEA939B">
            <w:pPr>
              <w:spacing w:line="240" w:lineRule="auto"/>
              <w:ind w:left="1" w:hanging="3"/>
              <w:jc w:val="both"/>
              <w:rPr>
                <w:sz w:val="26"/>
                <w:szCs w:val="26"/>
              </w:rPr>
            </w:pPr>
            <w:r>
              <w:rPr>
                <w:sz w:val="26"/>
                <w:szCs w:val="26"/>
              </w:rPr>
              <w:t>Ngày 29 tháng 5 năm 2024, Sở Giao thông vận tải chủ trì họp về hồ sơ đề xuất chủ trương đầu tư dự án Xây dựng cầu đi bộ qua sông Sài Gòn (kết nối công viên Bến Bạch Đằng, Quận 1 với Công viên bờ sông Khu đô thị mới Thủ Thiêm, thành phố Thủ Đức).</w:t>
            </w:r>
          </w:p>
          <w:p w14:paraId="282D730F">
            <w:pPr>
              <w:spacing w:line="240" w:lineRule="auto"/>
              <w:ind w:left="1" w:hanging="3"/>
              <w:jc w:val="both"/>
              <w:rPr>
                <w:sz w:val="26"/>
                <w:szCs w:val="26"/>
              </w:rPr>
            </w:pPr>
            <w:r>
              <w:rPr>
                <w:sz w:val="26"/>
                <w:szCs w:val="26"/>
              </w:rPr>
              <w:t>Hiện nay, Nhà tài trợ (Công ty Cổ phần thực phẩm dinh dưỡng Nutifood) đã có Công văn số 180/08-24/TT-NTF ngày 14 tháng 8 năm 2024 đề nghị thẩm định báo cáo đề xuất dự án đầu tư công trình Cầu đi bộ qua sông Sài Gòn (đính kèm hồ sơ đề xuất chủ trương đầu tư dự án)</w:t>
            </w:r>
          </w:p>
          <w:p w14:paraId="72A3C071">
            <w:pPr>
              <w:spacing w:line="240" w:lineRule="auto"/>
              <w:ind w:left="1" w:hanging="3"/>
              <w:jc w:val="both"/>
              <w:rPr>
                <w:sz w:val="26"/>
                <w:szCs w:val="26"/>
                <w:highlight w:val="white"/>
              </w:rPr>
            </w:pPr>
            <w:r>
              <w:rPr>
                <w:sz w:val="26"/>
                <w:szCs w:val="26"/>
              </w:rPr>
              <w:t>Ngày 16 tháng 8 năm 2024, Sở Giao</w:t>
            </w:r>
            <w:r>
              <w:rPr>
                <w:sz w:val="26"/>
                <w:szCs w:val="26"/>
                <w:highlight w:val="white"/>
              </w:rPr>
              <w:t xml:space="preserve"> thông vận tải đã có Công văn số 10739/SGTVT-KH trình Ủy ban nhân dân Thành phố chấp thuận chủ trương đầu tư dự án (đính kèm dự thảo Công văn của Ủy ban nhân dân Thành phố)</w:t>
            </w:r>
          </w:p>
          <w:p w14:paraId="0F1A9F85">
            <w:pPr>
              <w:spacing w:line="240" w:lineRule="auto"/>
              <w:ind w:left="1" w:hanging="3"/>
              <w:jc w:val="both"/>
              <w:rPr>
                <w:sz w:val="26"/>
                <w:szCs w:val="26"/>
              </w:rPr>
            </w:pPr>
            <w:r>
              <w:rPr>
                <w:sz w:val="26"/>
                <w:szCs w:val="26"/>
              </w:rPr>
              <w:t>Ngày 26 tháng 8 năm 2024, Văn phòng Ủy ban nhân dân Thành phố có Công văn số 9948/VP-DA giao Sở Tư pháp nghiên cứu, góp ý về cơ sở pháp lý, hình thức văn bản, thẩm quyền ký ban hành (thẩm quyền chung, thẩm quyền riêng) đối với dự thảo Văn bản của Ủy ban nhân dân Thành phố (kèm theo Công văn số 10739/SGTVT-KH ngày 16 tháng 8 năm 2024 của Sở Giao thông vận tải)</w:t>
            </w:r>
          </w:p>
        </w:tc>
        <w:tc>
          <w:tcPr>
            <w:tcW w:w="992" w:type="dxa"/>
            <w:gridSpan w:val="2"/>
            <w:vAlign w:val="center"/>
          </w:tcPr>
          <w:p w14:paraId="0B667D86">
            <w:pPr>
              <w:spacing w:line="240" w:lineRule="auto"/>
              <w:ind w:left="1" w:hanging="3"/>
              <w:jc w:val="center"/>
              <w:rPr>
                <w:sz w:val="26"/>
                <w:szCs w:val="26"/>
              </w:rPr>
            </w:pPr>
          </w:p>
        </w:tc>
      </w:tr>
      <w:tr w14:paraId="2F17B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32DD0F2E">
            <w:pPr>
              <w:pStyle w:val="139"/>
              <w:numPr>
                <w:ilvl w:val="0"/>
                <w:numId w:val="1"/>
              </w:numPr>
              <w:spacing w:line="240" w:lineRule="auto"/>
              <w:ind w:leftChars="0" w:firstLineChars="0"/>
              <w:jc w:val="both"/>
              <w:rPr>
                <w:sz w:val="26"/>
                <w:szCs w:val="26"/>
              </w:rPr>
            </w:pPr>
          </w:p>
        </w:tc>
        <w:tc>
          <w:tcPr>
            <w:tcW w:w="1834" w:type="dxa"/>
            <w:vAlign w:val="center"/>
          </w:tcPr>
          <w:p w14:paraId="659C2E8D">
            <w:pPr>
              <w:spacing w:line="240" w:lineRule="auto"/>
              <w:ind w:left="1" w:hanging="3"/>
              <w:jc w:val="both"/>
              <w:rPr>
                <w:sz w:val="26"/>
                <w:szCs w:val="26"/>
              </w:rPr>
            </w:pPr>
            <w:r>
              <w:rPr>
                <w:sz w:val="26"/>
                <w:szCs w:val="26"/>
              </w:rPr>
              <w:t>Các khu đô thị mới: lấn biển Cần Giờ, Phú Mỹ Hưng 2</w:t>
            </w:r>
          </w:p>
        </w:tc>
        <w:tc>
          <w:tcPr>
            <w:tcW w:w="2351" w:type="dxa"/>
            <w:vAlign w:val="center"/>
          </w:tcPr>
          <w:p w14:paraId="33B2C512">
            <w:pPr>
              <w:spacing w:line="240" w:lineRule="auto"/>
              <w:ind w:left="1" w:hanging="3"/>
              <w:jc w:val="both"/>
              <w:rPr>
                <w:sz w:val="26"/>
                <w:szCs w:val="26"/>
              </w:rPr>
            </w:pPr>
            <w:r>
              <w:rPr>
                <w:sz w:val="26"/>
                <w:szCs w:val="26"/>
              </w:rPr>
              <w:t xml:space="preserve">- Thường trực UBND Thành phố phụ trách: Đ/c Bùi Xuân Cường, Phó Chủ tịch Ủy ban nhân dân Thành phố </w:t>
            </w:r>
          </w:p>
          <w:p w14:paraId="6C3F01F4">
            <w:pPr>
              <w:spacing w:line="240" w:lineRule="auto"/>
              <w:ind w:left="1" w:hanging="3"/>
              <w:jc w:val="center"/>
              <w:rPr>
                <w:sz w:val="26"/>
                <w:szCs w:val="26"/>
              </w:rPr>
            </w:pPr>
            <w:r>
              <w:rPr>
                <w:sz w:val="26"/>
                <w:szCs w:val="26"/>
              </w:rPr>
              <w:t>- Đơn vị chủ trì: Sở Kế hoạch và Đầu tư</w:t>
            </w:r>
          </w:p>
        </w:tc>
        <w:tc>
          <w:tcPr>
            <w:tcW w:w="3178" w:type="dxa"/>
            <w:vAlign w:val="center"/>
          </w:tcPr>
          <w:p w14:paraId="483AD33E">
            <w:pPr>
              <w:spacing w:line="240" w:lineRule="auto"/>
              <w:ind w:left="1" w:hanging="3"/>
              <w:jc w:val="both"/>
              <w:rPr>
                <w:sz w:val="26"/>
                <w:szCs w:val="26"/>
              </w:rPr>
            </w:pPr>
            <w:r>
              <w:rPr>
                <w:sz w:val="26"/>
                <w:szCs w:val="26"/>
              </w:rPr>
              <w:t>1. Dự án Khu đô thị lấn biển Cần Giờ góp phần tạo môi trường sống có chất lượng cho người dân; góp phần vào sự phát triển chung của huyện Cần Giờ và Thành phố; phục vụ định cư cho người dân thành phố, góp phần tạo ra việc làm cho phần lớn khối lượng người lao động khi thực hiện dự án; tạo nguồn thuế đóng góp cho xã hội; góp phần tăng trưởng kinh tế của thành phố.</w:t>
            </w:r>
          </w:p>
          <w:p w14:paraId="13C6D70E">
            <w:pPr>
              <w:spacing w:line="240" w:lineRule="auto"/>
              <w:ind w:left="1" w:hanging="3"/>
              <w:jc w:val="both"/>
              <w:rPr>
                <w:sz w:val="26"/>
                <w:szCs w:val="26"/>
              </w:rPr>
            </w:pPr>
            <w:r>
              <w:rPr>
                <w:sz w:val="26"/>
                <w:szCs w:val="26"/>
              </w:rPr>
              <w:t>2. Dự án Khu đô thị Phú Mỹ Hưng góp phần tạo môi trường sống có chất lượng cho người dân; phục vụ định cư cho người dân Thành phố, góp phần tạo ra việc làm cho phần lớn khối lượng người lao động khi thực hiện dự án; tạo nguồn thuế đóng góp cho xã hội; góp phần tăng trưởng kinh tế của thành phố, hoàn thiện vào hệ thống hạ tầng kỹ thuật, tăng cường khả năng kết nối giao thông giữa quận 7, Bình Chánh và Nhà Bè, tạo ra môi trường học tập, sinh họa, nghỉ ngơi và cvui chơi chất lượng cho người dân của Thành phố.</w:t>
            </w:r>
          </w:p>
        </w:tc>
        <w:tc>
          <w:tcPr>
            <w:tcW w:w="1689" w:type="dxa"/>
            <w:vAlign w:val="center"/>
          </w:tcPr>
          <w:p w14:paraId="4E34EC48">
            <w:pPr>
              <w:spacing w:line="240" w:lineRule="auto"/>
              <w:ind w:left="1" w:hanging="3"/>
              <w:jc w:val="both"/>
              <w:rPr>
                <w:sz w:val="26"/>
                <w:szCs w:val="26"/>
              </w:rPr>
            </w:pPr>
            <w:r>
              <w:rPr>
                <w:sz w:val="26"/>
                <w:szCs w:val="26"/>
              </w:rPr>
              <w:t>- Dự kiến đến thời điểm ngày 30/4/2025, dự án sẽ được cấp Giấy phép xây dựng để tiến hành việc đầu tư theo quy định</w:t>
            </w:r>
          </w:p>
          <w:p w14:paraId="5F5968D6">
            <w:pPr>
              <w:spacing w:line="240" w:lineRule="auto"/>
              <w:ind w:left="1" w:hanging="3"/>
              <w:jc w:val="both"/>
              <w:rPr>
                <w:sz w:val="26"/>
                <w:szCs w:val="26"/>
              </w:rPr>
            </w:pPr>
            <w:r>
              <w:rPr>
                <w:sz w:val="26"/>
                <w:szCs w:val="26"/>
              </w:rPr>
              <w:t>- Dự kiến đến thời điểm 30/4/2025, dự án phê duyệt phương án bồi thường tại các khu B, C, D, E còn lại</w:t>
            </w:r>
          </w:p>
          <w:p w14:paraId="0417BC0D">
            <w:pPr>
              <w:spacing w:line="240" w:lineRule="auto"/>
              <w:ind w:left="1" w:hanging="3"/>
              <w:jc w:val="both"/>
              <w:rPr>
                <w:sz w:val="26"/>
                <w:szCs w:val="26"/>
              </w:rPr>
            </w:pPr>
          </w:p>
          <w:p w14:paraId="1D95FE30">
            <w:pPr>
              <w:spacing w:line="240" w:lineRule="auto"/>
              <w:ind w:left="1" w:hanging="3"/>
              <w:jc w:val="both"/>
              <w:rPr>
                <w:sz w:val="26"/>
                <w:szCs w:val="26"/>
              </w:rPr>
            </w:pPr>
          </w:p>
          <w:p w14:paraId="1E454B82">
            <w:pPr>
              <w:spacing w:line="240" w:lineRule="auto"/>
              <w:ind w:left="1" w:hanging="3"/>
              <w:jc w:val="both"/>
              <w:rPr>
                <w:sz w:val="26"/>
                <w:szCs w:val="26"/>
              </w:rPr>
            </w:pPr>
          </w:p>
          <w:p w14:paraId="636E8C6C">
            <w:pPr>
              <w:spacing w:line="240" w:lineRule="auto"/>
              <w:ind w:left="1" w:hanging="3"/>
              <w:jc w:val="both"/>
              <w:rPr>
                <w:sz w:val="26"/>
                <w:szCs w:val="26"/>
              </w:rPr>
            </w:pPr>
          </w:p>
          <w:p w14:paraId="230DEF0A">
            <w:pPr>
              <w:spacing w:line="240" w:lineRule="auto"/>
              <w:ind w:left="1" w:hanging="3"/>
              <w:jc w:val="both"/>
              <w:rPr>
                <w:sz w:val="26"/>
                <w:szCs w:val="26"/>
              </w:rPr>
            </w:pPr>
          </w:p>
          <w:p w14:paraId="68982A5F">
            <w:pPr>
              <w:spacing w:line="240" w:lineRule="auto"/>
              <w:ind w:left="1" w:hanging="3"/>
              <w:jc w:val="both"/>
              <w:rPr>
                <w:sz w:val="26"/>
                <w:szCs w:val="26"/>
              </w:rPr>
            </w:pPr>
          </w:p>
          <w:p w14:paraId="309E7340">
            <w:pPr>
              <w:spacing w:line="240" w:lineRule="auto"/>
              <w:ind w:left="1" w:hanging="3"/>
              <w:jc w:val="both"/>
              <w:rPr>
                <w:sz w:val="26"/>
                <w:szCs w:val="26"/>
              </w:rPr>
            </w:pPr>
          </w:p>
          <w:p w14:paraId="49B837F0">
            <w:pPr>
              <w:spacing w:line="240" w:lineRule="auto"/>
              <w:ind w:left="1" w:hanging="3"/>
              <w:jc w:val="both"/>
              <w:rPr>
                <w:sz w:val="26"/>
                <w:szCs w:val="26"/>
              </w:rPr>
            </w:pPr>
          </w:p>
        </w:tc>
        <w:tc>
          <w:tcPr>
            <w:tcW w:w="4961" w:type="dxa"/>
            <w:vAlign w:val="center"/>
          </w:tcPr>
          <w:p w14:paraId="3B46DC49">
            <w:pPr>
              <w:spacing w:line="240" w:lineRule="auto"/>
              <w:ind w:left="1" w:hanging="3"/>
              <w:rPr>
                <w:bCs/>
                <w:sz w:val="26"/>
                <w:szCs w:val="26"/>
              </w:rPr>
            </w:pPr>
            <w:r>
              <w:rPr>
                <w:sz w:val="26"/>
                <w:szCs w:val="26"/>
              </w:rPr>
              <w:t xml:space="preserve"> </w:t>
            </w:r>
            <w:r>
              <w:rPr>
                <w:bCs/>
                <w:sz w:val="26"/>
                <w:szCs w:val="26"/>
              </w:rPr>
              <w:t>1. Dự án Khu đô thị Du lịch lấn biển Cần Giờ:</w:t>
            </w:r>
          </w:p>
          <w:p w14:paraId="287DBE27">
            <w:pPr>
              <w:spacing w:line="240" w:lineRule="auto"/>
              <w:ind w:left="1" w:hanging="3"/>
              <w:jc w:val="both"/>
              <w:rPr>
                <w:bCs/>
                <w:sz w:val="26"/>
                <w:szCs w:val="26"/>
              </w:rPr>
            </w:pPr>
            <w:r>
              <w:rPr>
                <w:bCs/>
                <w:sz w:val="26"/>
                <w:szCs w:val="26"/>
              </w:rPr>
              <w:t>- Ngày 20 tháng 5 năm 2024, Ủy ban nhân dân Thành phố có Quyết định số 1752/QĐ-UBND phê duyệt điều chỉnh cục bộ đồ án quy hoạch phân khu tỷ lệ 1/5000 Khu đô thị du lịch biển Cần Giờ quy mô 2.870ha.</w:t>
            </w:r>
          </w:p>
          <w:p w14:paraId="7AF4ABA4">
            <w:pPr>
              <w:spacing w:line="240" w:lineRule="auto"/>
              <w:ind w:left="1" w:hanging="3"/>
              <w:jc w:val="both"/>
              <w:rPr>
                <w:bCs/>
                <w:sz w:val="26"/>
                <w:szCs w:val="26"/>
              </w:rPr>
            </w:pPr>
            <w:r>
              <w:rPr>
                <w:bCs/>
                <w:sz w:val="26"/>
                <w:szCs w:val="26"/>
              </w:rPr>
              <w:t>- Hiện nay, Sở Quy hoạch - Kiến trúc đã thẩm định và trình Ủy ban nhân dân Thành phố Quyết định về duyệt Nhiệm vụ quy hoạch chi tiết tỷ lệ 1/500 Khu đô thị du lịch biển Cần Giờ, huyện Cần Giờ, Thành phố Hồ Chí Minh 04 Phân khu A, B, C và D_E theo quy định.</w:t>
            </w:r>
          </w:p>
          <w:p w14:paraId="1769ABBD">
            <w:pPr>
              <w:spacing w:line="240" w:lineRule="auto"/>
              <w:ind w:left="1" w:hanging="3"/>
              <w:jc w:val="both"/>
              <w:rPr>
                <w:bCs/>
                <w:sz w:val="26"/>
                <w:szCs w:val="26"/>
              </w:rPr>
            </w:pPr>
            <w:r>
              <w:rPr>
                <w:bCs/>
                <w:sz w:val="26"/>
                <w:szCs w:val="26"/>
              </w:rPr>
              <w:t>2.  Dự án Khu đô thị Phú Mỹ Hưng:</w:t>
            </w:r>
          </w:p>
          <w:p w14:paraId="4BEE408F">
            <w:pPr>
              <w:spacing w:line="240" w:lineRule="auto"/>
              <w:ind w:left="1" w:hanging="3"/>
              <w:jc w:val="both"/>
              <w:rPr>
                <w:sz w:val="26"/>
                <w:szCs w:val="26"/>
              </w:rPr>
            </w:pPr>
            <w:r>
              <w:rPr>
                <w:sz w:val="26"/>
                <w:szCs w:val="26"/>
              </w:rPr>
              <w:t>- Ngày 27 tháng 6 năm 2024, Ủy ban nhân dân Thành phố có ý kiến chỉ đạo tại Thông báo số 546/TB-VP (mật) về công tác bồi thường, giải phóng mặt bằng.</w:t>
            </w:r>
          </w:p>
          <w:p w14:paraId="0E2F920F">
            <w:pPr>
              <w:spacing w:line="240" w:lineRule="auto"/>
              <w:ind w:left="1" w:hanging="3"/>
              <w:jc w:val="both"/>
              <w:rPr>
                <w:sz w:val="26"/>
                <w:szCs w:val="26"/>
              </w:rPr>
            </w:pPr>
            <w:r>
              <w:rPr>
                <w:sz w:val="26"/>
                <w:szCs w:val="26"/>
              </w:rPr>
              <w:t>- Ngày 12 tháng 7 năm 2024, Ủy ban nhân dân Thành phố có ý kiến chỉ đạo tại Thông báo số 656/TB-VP về chấp hành quy định pháp luật trong công tác quản lý quy hoạch đô thị, quản lý đầu tư xây dựng và mời gọi đầu tư tại Ban quản lý đầu tư và xây dựng Khu đô thị mới Nam Thành phố, trong đó giao Sở Kế hoạch và Đầu tư rà soát trách nhiệm bồi thường 600ha đất tại khu A, B, C, D, E tại Khu đô thị Phú Mỹ.</w:t>
            </w:r>
          </w:p>
          <w:p w14:paraId="5202F056">
            <w:pPr>
              <w:spacing w:line="240" w:lineRule="auto"/>
              <w:ind w:left="1" w:hanging="3"/>
              <w:jc w:val="both"/>
              <w:rPr>
                <w:sz w:val="26"/>
                <w:szCs w:val="26"/>
              </w:rPr>
            </w:pPr>
            <w:r>
              <w:rPr>
                <w:sz w:val="26"/>
                <w:szCs w:val="26"/>
              </w:rPr>
              <w:t>- Ngày 09 tháng 9 năm 2024, Văn phòng Ủy ban nhân dân Thành phố có văn bản số 10596/VP-NCPC về việc đôn đốc thực hiện ý kiến chỉ đạo của Ủy ban nhân dân Thành phố tại Thông báo số 656/TB-VP nêu trên.</w:t>
            </w:r>
          </w:p>
          <w:p w14:paraId="55CAF77F">
            <w:pPr>
              <w:spacing w:line="240" w:lineRule="auto"/>
              <w:ind w:left="1" w:hanging="3"/>
              <w:jc w:val="both"/>
              <w:rPr>
                <w:sz w:val="26"/>
                <w:szCs w:val="26"/>
              </w:rPr>
            </w:pPr>
            <w:r>
              <w:rPr>
                <w:sz w:val="26"/>
                <w:szCs w:val="26"/>
              </w:rPr>
              <w:t>-  Thực hiện ý kiến chỉ đạo của Ủy ban nhân dân Thành phố, Sở Kế hoạch và Đầu tư đã thực hiện rà soát các nội dung tại Thông báo số 546/TB-VP (mật) ngày 27 tháng 6 năm 2024 và có văn bản bản  tổng hợp báo cáo Ủy ban nhân dân Thành phố theo chỉ đạo.</w:t>
            </w:r>
          </w:p>
        </w:tc>
        <w:tc>
          <w:tcPr>
            <w:tcW w:w="992" w:type="dxa"/>
            <w:gridSpan w:val="2"/>
            <w:vAlign w:val="center"/>
          </w:tcPr>
          <w:p w14:paraId="66859E53">
            <w:pPr>
              <w:spacing w:line="240" w:lineRule="auto"/>
              <w:ind w:left="1" w:hanging="3"/>
              <w:jc w:val="center"/>
              <w:rPr>
                <w:sz w:val="26"/>
                <w:szCs w:val="26"/>
              </w:rPr>
            </w:pPr>
          </w:p>
        </w:tc>
      </w:tr>
      <w:tr w14:paraId="19213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Pr>
        <w:tc>
          <w:tcPr>
            <w:tcW w:w="855" w:type="dxa"/>
            <w:vAlign w:val="center"/>
          </w:tcPr>
          <w:p w14:paraId="3B1AD132">
            <w:pPr>
              <w:spacing w:line="240" w:lineRule="auto"/>
              <w:ind w:left="0" w:leftChars="0" w:firstLine="0" w:firstLineChars="0"/>
              <w:jc w:val="center"/>
              <w:rPr>
                <w:sz w:val="26"/>
                <w:szCs w:val="26"/>
              </w:rPr>
            </w:pPr>
            <w:r>
              <w:rPr>
                <w:b/>
                <w:sz w:val="26"/>
                <w:szCs w:val="26"/>
              </w:rPr>
              <w:t>IV</w:t>
            </w:r>
          </w:p>
        </w:tc>
        <w:tc>
          <w:tcPr>
            <w:tcW w:w="14880" w:type="dxa"/>
            <w:gridSpan w:val="6"/>
            <w:vAlign w:val="center"/>
          </w:tcPr>
          <w:p w14:paraId="0ED84023">
            <w:pPr>
              <w:spacing w:line="240" w:lineRule="auto"/>
              <w:ind w:left="1" w:hanging="3"/>
              <w:jc w:val="both"/>
              <w:rPr>
                <w:sz w:val="26"/>
                <w:szCs w:val="26"/>
              </w:rPr>
            </w:pPr>
            <w:r>
              <w:rPr>
                <w:b/>
                <w:sz w:val="26"/>
                <w:szCs w:val="26"/>
              </w:rPr>
              <w:t>LĨNH VỰC KHOA HỌC CÔNG NGHỆ - ĐỔI MỚI SÁNG TẠO</w:t>
            </w:r>
          </w:p>
        </w:tc>
      </w:tr>
      <w:tr w14:paraId="745B8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297294C5">
            <w:pPr>
              <w:pStyle w:val="139"/>
              <w:numPr>
                <w:ilvl w:val="0"/>
                <w:numId w:val="1"/>
              </w:numPr>
              <w:spacing w:line="240" w:lineRule="auto"/>
              <w:ind w:leftChars="0" w:firstLineChars="0"/>
              <w:jc w:val="both"/>
              <w:rPr>
                <w:sz w:val="26"/>
                <w:szCs w:val="26"/>
              </w:rPr>
            </w:pPr>
          </w:p>
        </w:tc>
        <w:tc>
          <w:tcPr>
            <w:tcW w:w="1834" w:type="dxa"/>
            <w:vAlign w:val="center"/>
          </w:tcPr>
          <w:p w14:paraId="2BC1FF71">
            <w:pPr>
              <w:spacing w:line="240" w:lineRule="auto"/>
              <w:ind w:left="1" w:hanging="3"/>
              <w:jc w:val="both"/>
              <w:rPr>
                <w:sz w:val="26"/>
                <w:szCs w:val="26"/>
              </w:rPr>
            </w:pPr>
            <w:r>
              <w:rPr>
                <w:sz w:val="26"/>
                <w:szCs w:val="26"/>
              </w:rPr>
              <w:t>Công trình Trung tâm khởi nghiệp đổi mới sáng tạo - hạt nhân thúc đẩy phát triển hệ sinh thái khởi nghiệp đổi mới sáng tạo thành phố Hồ Chí Minh</w:t>
            </w:r>
          </w:p>
        </w:tc>
        <w:tc>
          <w:tcPr>
            <w:tcW w:w="2351" w:type="dxa"/>
            <w:vAlign w:val="center"/>
          </w:tcPr>
          <w:p w14:paraId="4C715C87">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33F79603">
            <w:pPr>
              <w:spacing w:line="240" w:lineRule="auto"/>
              <w:ind w:left="1" w:hanging="3"/>
              <w:jc w:val="both"/>
              <w:rPr>
                <w:sz w:val="26"/>
                <w:szCs w:val="26"/>
              </w:rPr>
            </w:pPr>
            <w:r>
              <w:rPr>
                <w:sz w:val="26"/>
                <w:szCs w:val="26"/>
              </w:rPr>
              <w:t>- Đơn vị chủ trì: Sở Khoa học và Công nghệ</w:t>
            </w:r>
          </w:p>
        </w:tc>
        <w:tc>
          <w:tcPr>
            <w:tcW w:w="3178" w:type="dxa"/>
            <w:vAlign w:val="center"/>
          </w:tcPr>
          <w:p w14:paraId="3C42CB4E">
            <w:pPr>
              <w:spacing w:line="240" w:lineRule="auto"/>
              <w:ind w:left="1" w:hanging="3"/>
              <w:jc w:val="both"/>
              <w:rPr>
                <w:sz w:val="26"/>
                <w:szCs w:val="26"/>
              </w:rPr>
            </w:pPr>
            <w:r>
              <w:rPr>
                <w:sz w:val="26"/>
                <w:szCs w:val="26"/>
              </w:rPr>
              <w:t>Góp phần thúc đẩy hình thành các không gian hỗ trợ khởi nghiệp đổi mới sáng tạo và khởi nghiệp trong cộng đồng, là nơi thu hút nguồn vốn đầu tư mạo hiểm của các quỹ đầu tư trong và ngoài nước cho hoạt động khởi nghiệp đổi mới sáng tạo thành phố nói riêng và Việt Nam nói chung.</w:t>
            </w:r>
          </w:p>
        </w:tc>
        <w:tc>
          <w:tcPr>
            <w:tcW w:w="1689" w:type="dxa"/>
            <w:vAlign w:val="center"/>
          </w:tcPr>
          <w:p w14:paraId="697E3D7C">
            <w:pPr>
              <w:spacing w:line="240" w:lineRule="auto"/>
              <w:ind w:left="1" w:hanging="3"/>
              <w:jc w:val="both"/>
              <w:rPr>
                <w:sz w:val="26"/>
                <w:szCs w:val="26"/>
              </w:rPr>
            </w:pPr>
            <w:r>
              <w:rPr>
                <w:sz w:val="26"/>
                <w:szCs w:val="26"/>
              </w:rPr>
              <w:t>Hoàn thành dịp 30/4/2025</w:t>
            </w:r>
          </w:p>
        </w:tc>
        <w:tc>
          <w:tcPr>
            <w:tcW w:w="4961" w:type="dxa"/>
            <w:tcBorders>
              <w:top w:val="single" w:color="000000" w:sz="6" w:space="0"/>
              <w:left w:val="single" w:color="000000" w:sz="6" w:space="0"/>
              <w:bottom w:val="single" w:color="000000" w:sz="6" w:space="0"/>
              <w:right w:val="single" w:color="000000" w:sz="6" w:space="0"/>
            </w:tcBorders>
            <w:tcMar>
              <w:top w:w="0" w:type="dxa"/>
              <w:left w:w="100" w:type="dxa"/>
              <w:bottom w:w="0" w:type="dxa"/>
              <w:right w:w="100" w:type="dxa"/>
            </w:tcMar>
          </w:tcPr>
          <w:p w14:paraId="2B09A932">
            <w:pPr>
              <w:spacing w:line="240" w:lineRule="auto"/>
              <w:ind w:left="1" w:right="20" w:hanging="3"/>
              <w:jc w:val="both"/>
              <w:rPr>
                <w:sz w:val="26"/>
                <w:szCs w:val="26"/>
              </w:rPr>
            </w:pPr>
            <w:r>
              <w:rPr>
                <w:sz w:val="26"/>
                <w:szCs w:val="26"/>
              </w:rPr>
              <w:t>- Ngày 14 tháng 8 năm 2024, Sở Nội vụ có Công văn số 6147/SNV-TCBC&amp;TCPCP về việc tham mưu Ủy ban nhân dân Thành phố Hồ Chí Minh thành lập Trung tâm Khởi nghiệp sáng tạo Thành phố Hồ Chí Minh trực thuộc Sở Khoa học và Công nghệ, theo đó, đề nghị “</w:t>
            </w:r>
            <w:r>
              <w:rPr>
                <w:i/>
                <w:sz w:val="26"/>
                <w:szCs w:val="26"/>
              </w:rPr>
              <w:t>Sở Khoa học và Công nghệ rà soát, bổ sung thành phần hồ sơ theo đúng quy định tại khoản 2 Điều 11, khoản 3 Điều 12, khoản 2 Điều 18 Nghị định số 120/2020/NĐ-CP ngày 07 tháng 10 năm 2020 của Chính phủ quy định về thành lập, tổ chức lại, giải thể đơn vị sự nghiệp công lập. Sau đó hoàn thiện lại Tờ trình, dự thảo Quyết định gửi Sở Nội vụ để tham mưu trình Ủy ban nhân dân Thành phố theo quy định</w:t>
            </w:r>
            <w:r>
              <w:rPr>
                <w:sz w:val="26"/>
                <w:szCs w:val="26"/>
              </w:rPr>
              <w:t>”.</w:t>
            </w:r>
          </w:p>
          <w:p w14:paraId="2CACB344">
            <w:pPr>
              <w:spacing w:line="240" w:lineRule="auto"/>
              <w:ind w:left="1" w:right="20" w:hanging="3"/>
              <w:jc w:val="both"/>
              <w:rPr>
                <w:sz w:val="26"/>
                <w:szCs w:val="26"/>
              </w:rPr>
            </w:pPr>
            <w:r>
              <w:rPr>
                <w:sz w:val="26"/>
                <w:szCs w:val="26"/>
              </w:rPr>
              <w:t>- Ngày 28 tháng 8 năm 2024, Văn phòng Ủy ban nhân dân Thành phố Hồ Chí Minh đã ban hành Thông báo số 831/TB-VP về kết luận của Chủ tịch Ủy ban nhân dân Thành phố tại buổi làm việc đến thăm Trung tâm Khởi nghiệp sáng tạo Thành phố Hồ Chí Minh và nghe báo cáo về Đề án thành lập Trung tâm Khởi nghiệp sáng tạo Thành phố Hồ Chí Minh.</w:t>
            </w:r>
          </w:p>
          <w:p w14:paraId="7865F1D8">
            <w:pPr>
              <w:spacing w:line="240" w:lineRule="auto"/>
              <w:ind w:left="1" w:right="20" w:hanging="3"/>
              <w:jc w:val="both"/>
              <w:rPr>
                <w:sz w:val="26"/>
                <w:szCs w:val="26"/>
              </w:rPr>
            </w:pPr>
            <w:r>
              <w:rPr>
                <w:sz w:val="26"/>
                <w:szCs w:val="26"/>
              </w:rPr>
              <w:t>- Ngày 05 tháng 9 năm 2024, Sở Khoa học và Công nghệ đã gửi Ủy ban nhân dân Thành phố và Sở Nội vụ Tờ trình số 3537/TTr-SKHCN về thành lập Trung tâm Khởi nghiệp sáng tạo Thành phố Hồ Chí Minh trên cơ sở tổ chức lại Trung tâm Ứng dụng Tiến bộ khoa học và công nghệ thuộc Sở Khoa học và Công nghệ.</w:t>
            </w:r>
          </w:p>
          <w:p w14:paraId="79FBE9DF">
            <w:pPr>
              <w:spacing w:line="240" w:lineRule="auto"/>
              <w:ind w:left="1" w:right="20" w:hanging="3"/>
              <w:jc w:val="both"/>
              <w:rPr>
                <w:sz w:val="26"/>
                <w:szCs w:val="26"/>
              </w:rPr>
            </w:pPr>
            <w:r>
              <w:rPr>
                <w:sz w:val="26"/>
                <w:szCs w:val="26"/>
              </w:rPr>
              <w:t>-  Ngày 10 tháng 9 năm 2024, Sở Khoa học và Công nghệ có Tờ trình số 3632/TTr-SKHCN trình Ủy ban nhân dân Thành phố và Sở Nội vụ vê thành lập Trung tâm Khởi nghiệp sáng tạo Thành phố Hồ Chí Minh trên cơ sở tổ chức lại Trung tâm Ứng dụng Tiến bộ khoa học và công nghệ thuộc Sở Khoa học và Công nghệ.</w:t>
            </w:r>
          </w:p>
        </w:tc>
        <w:tc>
          <w:tcPr>
            <w:tcW w:w="992" w:type="dxa"/>
            <w:gridSpan w:val="2"/>
            <w:vAlign w:val="center"/>
          </w:tcPr>
          <w:p w14:paraId="5047FA56">
            <w:pPr>
              <w:spacing w:line="240" w:lineRule="auto"/>
              <w:ind w:left="1" w:hanging="3"/>
              <w:jc w:val="center"/>
              <w:rPr>
                <w:sz w:val="26"/>
                <w:szCs w:val="26"/>
              </w:rPr>
            </w:pPr>
          </w:p>
        </w:tc>
      </w:tr>
      <w:tr w14:paraId="2F499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61CFADA">
            <w:pPr>
              <w:pStyle w:val="139"/>
              <w:numPr>
                <w:ilvl w:val="0"/>
                <w:numId w:val="1"/>
              </w:numPr>
              <w:spacing w:line="240" w:lineRule="auto"/>
              <w:ind w:leftChars="0" w:firstLineChars="0"/>
              <w:jc w:val="both"/>
              <w:rPr>
                <w:sz w:val="26"/>
                <w:szCs w:val="26"/>
              </w:rPr>
            </w:pPr>
          </w:p>
        </w:tc>
        <w:tc>
          <w:tcPr>
            <w:tcW w:w="1834" w:type="dxa"/>
            <w:vAlign w:val="center"/>
          </w:tcPr>
          <w:p w14:paraId="50D07382">
            <w:pPr>
              <w:spacing w:line="240" w:lineRule="auto"/>
              <w:ind w:left="1" w:hanging="3"/>
              <w:jc w:val="both"/>
              <w:rPr>
                <w:sz w:val="26"/>
                <w:szCs w:val="26"/>
              </w:rPr>
            </w:pPr>
            <w:r>
              <w:rPr>
                <w:sz w:val="26"/>
                <w:szCs w:val="26"/>
              </w:rPr>
              <w:t>Viện Công nghệ tiên tiến và Đổi mới sáng tạo Thành phố Hồ Chí Minh</w:t>
            </w:r>
          </w:p>
        </w:tc>
        <w:tc>
          <w:tcPr>
            <w:tcW w:w="2351" w:type="dxa"/>
            <w:vAlign w:val="center"/>
          </w:tcPr>
          <w:p w14:paraId="67EC14DF">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66E99643">
            <w:pPr>
              <w:spacing w:line="240" w:lineRule="auto"/>
              <w:ind w:left="1" w:hanging="3"/>
              <w:jc w:val="both"/>
              <w:rPr>
                <w:sz w:val="26"/>
                <w:szCs w:val="26"/>
              </w:rPr>
            </w:pPr>
            <w:r>
              <w:rPr>
                <w:sz w:val="26"/>
                <w:szCs w:val="26"/>
              </w:rPr>
              <w:t>- Đơn vị chủ trì: Ban Quản lý Khu công nghệ cao</w:t>
            </w:r>
          </w:p>
        </w:tc>
        <w:tc>
          <w:tcPr>
            <w:tcW w:w="3178" w:type="dxa"/>
            <w:vAlign w:val="center"/>
          </w:tcPr>
          <w:p w14:paraId="2A366DB8">
            <w:pPr>
              <w:spacing w:line="240" w:lineRule="auto"/>
              <w:ind w:left="1" w:hanging="3"/>
              <w:jc w:val="both"/>
              <w:rPr>
                <w:sz w:val="26"/>
                <w:szCs w:val="26"/>
              </w:rPr>
            </w:pPr>
            <w:r>
              <w:rPr>
                <w:sz w:val="26"/>
                <w:szCs w:val="26"/>
              </w:rPr>
              <w:t>Tận dụng những sức mạnh sẵn có và cơ hội để tham gia vào cuộc cách mạng khoa học công nghệ, thúc đẩy quá trình công nghiệp hóa, hiện đại hóa đất nước, tập trung phát triển, ươm tạo, thương mại hóa công nghệ, giải pháp, sản phẩm mới dựa trên cơ sở hợp tác chặt chẽ với các đại học và doanh nghiệp, nhằm hỗ trợ chuyển giao cho doanh nghiệp.</w:t>
            </w:r>
          </w:p>
        </w:tc>
        <w:tc>
          <w:tcPr>
            <w:tcW w:w="1689" w:type="dxa"/>
            <w:vAlign w:val="center"/>
          </w:tcPr>
          <w:p w14:paraId="051BFC78">
            <w:pPr>
              <w:spacing w:line="240" w:lineRule="auto"/>
              <w:ind w:left="1" w:hanging="3"/>
              <w:jc w:val="both"/>
              <w:rPr>
                <w:sz w:val="26"/>
                <w:szCs w:val="26"/>
              </w:rPr>
            </w:pPr>
            <w:r>
              <w:rPr>
                <w:sz w:val="26"/>
                <w:szCs w:val="26"/>
              </w:rPr>
              <w:t>Hoàn thành dịp 30/4/2025</w:t>
            </w:r>
          </w:p>
        </w:tc>
        <w:tc>
          <w:tcPr>
            <w:tcW w:w="4961" w:type="dxa"/>
            <w:vAlign w:val="center"/>
          </w:tcPr>
          <w:p w14:paraId="1DB14C28">
            <w:pPr>
              <w:spacing w:line="240" w:lineRule="auto"/>
              <w:ind w:left="5" w:leftChars="2" w:firstLine="0" w:firstLineChars="0"/>
              <w:jc w:val="both"/>
              <w:rPr>
                <w:sz w:val="26"/>
                <w:szCs w:val="26"/>
              </w:rPr>
            </w:pPr>
            <w:r>
              <w:rPr>
                <w:sz w:val="26"/>
                <w:szCs w:val="26"/>
              </w:rPr>
              <w:t>- Ngày 07 tháng 8 năm 2024, Ban Quản lý Khu công nghệ cao lấy ý kiến các đơn vị về dự thảo Đề án thành lập Viện công nghệ tiên tiến và Đổi mới sáng tạo Thành phố (nhắc lần 1).</w:t>
            </w:r>
          </w:p>
          <w:p w14:paraId="35C355BA">
            <w:pPr>
              <w:spacing w:line="240" w:lineRule="auto"/>
              <w:ind w:left="1" w:hanging="3"/>
              <w:jc w:val="both"/>
              <w:rPr>
                <w:sz w:val="26"/>
                <w:szCs w:val="26"/>
              </w:rPr>
            </w:pPr>
            <w:r>
              <w:rPr>
                <w:sz w:val="26"/>
                <w:szCs w:val="26"/>
              </w:rPr>
              <w:t>- Ngày 16 tháng 8 năm 2024, Ban Quản lý Khu công nghệ cao đã có Tờ trình số 23/TTr-KCNC trình Thường trực Ủy ban nhân dân Thành phố Đề án thành lập Viện công nghệ tiên tiến và Đổi mới sáng tạo Thành phố.</w:t>
            </w:r>
          </w:p>
          <w:p w14:paraId="21BC8714">
            <w:pPr>
              <w:spacing w:line="240" w:lineRule="auto"/>
              <w:ind w:left="1" w:hanging="3"/>
              <w:jc w:val="both"/>
              <w:rPr>
                <w:sz w:val="26"/>
                <w:szCs w:val="26"/>
              </w:rPr>
            </w:pPr>
            <w:r>
              <w:rPr>
                <w:sz w:val="26"/>
                <w:szCs w:val="26"/>
              </w:rPr>
              <w:t>Hiện nay, Ban Quản lý sẽ tiếp tục hoàn thiện dự thảo để trình Ủy ban nhân dân Thành phố, lấy ý kiến Bộ Khoa học và Công nghệ.</w:t>
            </w:r>
          </w:p>
        </w:tc>
        <w:tc>
          <w:tcPr>
            <w:tcW w:w="992" w:type="dxa"/>
            <w:gridSpan w:val="2"/>
            <w:vAlign w:val="center"/>
          </w:tcPr>
          <w:p w14:paraId="5896E12E">
            <w:pPr>
              <w:spacing w:line="240" w:lineRule="auto"/>
              <w:ind w:left="1" w:hanging="3"/>
              <w:jc w:val="center"/>
              <w:rPr>
                <w:sz w:val="26"/>
                <w:szCs w:val="26"/>
              </w:rPr>
            </w:pPr>
          </w:p>
        </w:tc>
      </w:tr>
      <w:tr w14:paraId="60398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35207357">
            <w:pPr>
              <w:pStyle w:val="139"/>
              <w:numPr>
                <w:ilvl w:val="0"/>
                <w:numId w:val="1"/>
              </w:numPr>
              <w:spacing w:line="240" w:lineRule="auto"/>
              <w:ind w:leftChars="0" w:firstLineChars="0"/>
              <w:jc w:val="both"/>
              <w:rPr>
                <w:sz w:val="26"/>
                <w:szCs w:val="26"/>
              </w:rPr>
            </w:pPr>
          </w:p>
        </w:tc>
        <w:tc>
          <w:tcPr>
            <w:tcW w:w="1834" w:type="dxa"/>
            <w:vAlign w:val="center"/>
          </w:tcPr>
          <w:p w14:paraId="38F59038">
            <w:pPr>
              <w:spacing w:line="240" w:lineRule="auto"/>
              <w:ind w:left="1" w:hanging="3"/>
              <w:jc w:val="both"/>
              <w:rPr>
                <w:sz w:val="26"/>
                <w:szCs w:val="26"/>
              </w:rPr>
            </w:pPr>
            <w:r>
              <w:rPr>
                <w:sz w:val="26"/>
                <w:szCs w:val="26"/>
              </w:rPr>
              <w:t>“Đề án kết nối các sàn giao dịch công nghệ quốc gia tại Thành phố Hồ Chí Minh với các trung tâm ứng dụng và chuyển giao tiến bộ khoa học và công nghệ ở các địa phương trong vùng Đông Nam Bộ”</w:t>
            </w:r>
          </w:p>
        </w:tc>
        <w:tc>
          <w:tcPr>
            <w:tcW w:w="2351" w:type="dxa"/>
            <w:vAlign w:val="center"/>
          </w:tcPr>
          <w:p w14:paraId="3FAA965A">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0E56C4A7">
            <w:pPr>
              <w:spacing w:line="240" w:lineRule="auto"/>
              <w:ind w:left="1" w:hanging="3"/>
              <w:jc w:val="both"/>
              <w:rPr>
                <w:sz w:val="26"/>
                <w:szCs w:val="26"/>
              </w:rPr>
            </w:pPr>
            <w:r>
              <w:rPr>
                <w:sz w:val="26"/>
                <w:szCs w:val="26"/>
              </w:rPr>
              <w:t>- Đơn vị chủ trì: Sở Khoa học và Công nghệ</w:t>
            </w:r>
          </w:p>
        </w:tc>
        <w:tc>
          <w:tcPr>
            <w:tcW w:w="3178" w:type="dxa"/>
            <w:vAlign w:val="center"/>
          </w:tcPr>
          <w:p w14:paraId="31C2F8DC">
            <w:pPr>
              <w:spacing w:line="240" w:lineRule="auto"/>
              <w:ind w:left="1" w:hanging="3"/>
              <w:jc w:val="both"/>
              <w:rPr>
                <w:sz w:val="26"/>
                <w:szCs w:val="26"/>
              </w:rPr>
            </w:pPr>
            <w:r>
              <w:rPr>
                <w:sz w:val="26"/>
                <w:szCs w:val="26"/>
              </w:rPr>
              <w:t>Có vai trò góp phần hoàn thành mục tiêu của Nghị quyết số 24-NQ/TW ngày 07 tháng 10 năm 2022 của Bộ Chính trị về phát triển kinh tế - xã hội và đảm bảo quốc phòng, an ninh vùng Đông Nam Bộ đến năm 2030, tầm nhìn đến năm 2045 đưa Đông Nam Bộ trở thành vùng phát triển năng động, có tốc độ tăng trưởng kinh tế cao, động lực tăng trưởng lớn nhất cả nước; trung tâm khoa học - công nghệ và đổi mới sáng tạo, công nghiệp công nghệ cao, logistics và trung tâm tài chính quốc tế có tính cạnh tranh cao trong khu vực… phát triển thị trường khoa học công nghệ.</w:t>
            </w:r>
          </w:p>
        </w:tc>
        <w:tc>
          <w:tcPr>
            <w:tcW w:w="1689" w:type="dxa"/>
            <w:vAlign w:val="center"/>
          </w:tcPr>
          <w:p w14:paraId="1FD1E09F">
            <w:pPr>
              <w:spacing w:line="240" w:lineRule="auto"/>
              <w:ind w:left="1" w:hanging="3"/>
              <w:jc w:val="both"/>
              <w:rPr>
                <w:sz w:val="26"/>
                <w:szCs w:val="26"/>
              </w:rPr>
            </w:pPr>
            <w:r>
              <w:rPr>
                <w:sz w:val="26"/>
                <w:szCs w:val="26"/>
              </w:rPr>
              <w:t>Hoàn thành dịp 30/4/2025</w:t>
            </w:r>
          </w:p>
        </w:tc>
        <w:tc>
          <w:tcPr>
            <w:tcW w:w="4961" w:type="dxa"/>
            <w:vAlign w:val="center"/>
          </w:tcPr>
          <w:p w14:paraId="51A2FF4A">
            <w:pPr>
              <w:spacing w:line="240" w:lineRule="auto"/>
              <w:ind w:left="1" w:hanging="3"/>
              <w:jc w:val="both"/>
              <w:rPr>
                <w:sz w:val="26"/>
                <w:szCs w:val="26"/>
              </w:rPr>
            </w:pPr>
            <w:r>
              <w:rPr>
                <w:sz w:val="26"/>
                <w:szCs w:val="26"/>
              </w:rPr>
              <w:t>- Ngày 06 tháng 5 năm 2024, Ủy ban nhân dân Thành phố có Công văn số 2423/UBND-KT về có ý kiến đối với dự thảo Tờ trình và Quyết định của Thủ tướng Chính phủ về phê duyệt Đề án “Kết nối sàn giao dịch công nghệ vùng Đông Nam Bộ” gửi Bộ Khoa học và Công nghệ, Bộ Tài chính và ngày 03 tháng 5 năm 2024, Bộ Khoa học và Công nghệ có Công văn số 1851/BKHCN-PTTTDN, ngày 10 tháng 6 năm 2024, Bộ Tài chính có Công văn số 5990/BTC-NSNN góp ý đối với dự thảo Tờ trình và Quyết định của Thủ tướng Chính phủ về phê duyệt Đề án “Kết nối sàn giao dịch công nghệ vùng Đông Nam Bộ” gửi Ủy ban nhân dân Thành phố.</w:t>
            </w:r>
          </w:p>
          <w:p w14:paraId="75289751">
            <w:pPr>
              <w:spacing w:line="240" w:lineRule="auto"/>
              <w:ind w:left="1" w:hanging="3"/>
              <w:jc w:val="both"/>
              <w:rPr>
                <w:sz w:val="26"/>
                <w:szCs w:val="26"/>
              </w:rPr>
            </w:pPr>
            <w:r>
              <w:rPr>
                <w:sz w:val="26"/>
                <w:szCs w:val="26"/>
              </w:rPr>
              <w:t>- Trên cơ sở ý kiến của Bộ Khoa học và Công nghệ, Bộ Tài chính, ngày 13 tháng 6 năm 2024, Ủy ban nhân dân Thành phố có Công văn số 6456/VP-KT yêu cầu Sở chủ trì phối hợp với các đơn vị liên quan tiếp thu ý kiến góp ý của Bộ Khoa học và Công nghệ, Bộ Tài chính để điều chỉnh bổ sung dự thảo Tờ trình và Quyết định của Thủ tướng Chính phủ về phê duyệt Đề án “Kết nối sàn giao dịch công nghệ vùng Đông Nam Bộ”.</w:t>
            </w:r>
          </w:p>
          <w:p w14:paraId="3141EBAC">
            <w:pPr>
              <w:spacing w:line="240" w:lineRule="auto"/>
              <w:ind w:left="1" w:hanging="3"/>
              <w:jc w:val="both"/>
              <w:rPr>
                <w:sz w:val="26"/>
                <w:szCs w:val="26"/>
              </w:rPr>
            </w:pPr>
            <w:r>
              <w:rPr>
                <w:sz w:val="26"/>
                <w:szCs w:val="26"/>
              </w:rPr>
              <w:t>- Ngày 14 tháng 8 năm 2024, Sở có Công văn số 3229/SKHCN-QLCN báo cáo Ủy ban nhân dân Thành phố về việc lấy ý kiến góp ý Đề án “Kết nối các sàn giao dịch công nghệ vùng Đông Nam Bộ” (lần 2).</w:t>
            </w:r>
          </w:p>
          <w:p w14:paraId="48FAF907">
            <w:pPr>
              <w:spacing w:line="240" w:lineRule="auto"/>
              <w:ind w:left="1" w:hanging="3"/>
              <w:jc w:val="both"/>
              <w:rPr>
                <w:sz w:val="26"/>
                <w:szCs w:val="26"/>
              </w:rPr>
            </w:pPr>
            <w:r>
              <w:rPr>
                <w:sz w:val="26"/>
                <w:szCs w:val="26"/>
              </w:rPr>
              <w:t>- Ngày 28 tháng 8 năm 2024, Ủy ban nhân dân Thành phố có Công văn số 4995/UBND-KT lấy ý kiến các Bộ ngành liên quan đối với dự thảo Tờ trình và Quyết định của Thủ tướng Chính phủ về phê duyệt Đề án “Kết nối các sàn giao dịch công nghệ vùng Đông Nam Bộ” (Bộ Công an, Bộ Thông tin và Truyền thông, Ngân hàng Nhà nước).</w:t>
            </w:r>
          </w:p>
        </w:tc>
        <w:tc>
          <w:tcPr>
            <w:tcW w:w="992" w:type="dxa"/>
            <w:gridSpan w:val="2"/>
            <w:vAlign w:val="center"/>
          </w:tcPr>
          <w:p w14:paraId="5F306FB0">
            <w:pPr>
              <w:spacing w:line="240" w:lineRule="auto"/>
              <w:ind w:left="1" w:hanging="3"/>
              <w:jc w:val="center"/>
              <w:rPr>
                <w:sz w:val="26"/>
                <w:szCs w:val="26"/>
              </w:rPr>
            </w:pPr>
          </w:p>
        </w:tc>
      </w:tr>
      <w:tr w14:paraId="749A89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AEBBF31">
            <w:pPr>
              <w:pStyle w:val="139"/>
              <w:numPr>
                <w:ilvl w:val="0"/>
                <w:numId w:val="1"/>
              </w:numPr>
              <w:spacing w:line="240" w:lineRule="auto"/>
              <w:ind w:leftChars="0" w:firstLineChars="0"/>
              <w:jc w:val="both"/>
              <w:rPr>
                <w:sz w:val="26"/>
                <w:szCs w:val="26"/>
              </w:rPr>
            </w:pPr>
          </w:p>
        </w:tc>
        <w:tc>
          <w:tcPr>
            <w:tcW w:w="1834" w:type="dxa"/>
            <w:vAlign w:val="center"/>
          </w:tcPr>
          <w:p w14:paraId="61127B76">
            <w:pPr>
              <w:spacing w:line="240" w:lineRule="auto"/>
              <w:ind w:left="1" w:hanging="3"/>
              <w:jc w:val="both"/>
              <w:rPr>
                <w:sz w:val="26"/>
                <w:szCs w:val="26"/>
              </w:rPr>
            </w:pPr>
            <w:r>
              <w:rPr>
                <w:sz w:val="26"/>
                <w:szCs w:val="26"/>
              </w:rPr>
              <w:t>Lập, trình thẩm định, phê duyệt Đề án mở rộng Khu Công nghệ cao Thành phố Hồ Chí Minh (bổ sung chức năng Khu Công viên Khoa học và Công nghệ) và Thủ tướng Chính phủ quyết định mở rộng Khu Công nghệ cao</w:t>
            </w:r>
          </w:p>
        </w:tc>
        <w:tc>
          <w:tcPr>
            <w:tcW w:w="2351" w:type="dxa"/>
            <w:vAlign w:val="center"/>
          </w:tcPr>
          <w:p w14:paraId="1D1754B5">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23195A61">
            <w:pPr>
              <w:spacing w:line="240" w:lineRule="auto"/>
              <w:ind w:left="1" w:hanging="3"/>
              <w:jc w:val="both"/>
              <w:rPr>
                <w:sz w:val="26"/>
                <w:szCs w:val="26"/>
              </w:rPr>
            </w:pPr>
            <w:r>
              <w:rPr>
                <w:sz w:val="26"/>
                <w:szCs w:val="26"/>
              </w:rPr>
              <w:t xml:space="preserve">- Đơn vị chủ trì: Ban Quản lý </w:t>
            </w:r>
            <w:r>
              <w:rPr>
                <w:sz w:val="26"/>
                <w:szCs w:val="26"/>
              </w:rPr>
              <w:br w:type="textWrapping"/>
            </w:r>
            <w:r>
              <w:rPr>
                <w:sz w:val="26"/>
                <w:szCs w:val="26"/>
              </w:rPr>
              <w:t>Khu Công nghệ cao</w:t>
            </w:r>
          </w:p>
        </w:tc>
        <w:tc>
          <w:tcPr>
            <w:tcW w:w="3178" w:type="dxa"/>
            <w:vAlign w:val="center"/>
          </w:tcPr>
          <w:p w14:paraId="1EACFEAD">
            <w:pPr>
              <w:spacing w:line="240" w:lineRule="auto"/>
              <w:ind w:left="1" w:hanging="3"/>
              <w:jc w:val="both"/>
              <w:rPr>
                <w:sz w:val="26"/>
                <w:szCs w:val="26"/>
              </w:rPr>
            </w:pPr>
            <w:r>
              <w:rPr>
                <w:sz w:val="26"/>
                <w:szCs w:val="26"/>
              </w:rPr>
              <w:t>Sau khi Đồ án quy hoạch chung thành phố Thủ Đức thuộc Thành phố Hồ Chí Minh đến năm 2040 được Thủ tướng Chính phủ phê duyệt và các Sở, Ban, ngành có ý kiến chuyên môn, Ban Quản lý Khu Công nghệ cao và đơn vị tư vấn lập quy hoạch sẽ điều chỉnh lại nhiệm vụ và điều chỉnh lại Đồ án Quy hoạch phân khu xây dựng tỷ lệ 1/2000 Công viên Khoa học và Công nghệ Thành phố Hồ Chí Minh phù hợp với quy hoạch chung thành phố Thủ Đức.</w:t>
            </w:r>
          </w:p>
        </w:tc>
        <w:tc>
          <w:tcPr>
            <w:tcW w:w="1689" w:type="dxa"/>
            <w:vAlign w:val="center"/>
          </w:tcPr>
          <w:p w14:paraId="6DB2F89A">
            <w:pPr>
              <w:spacing w:line="240" w:lineRule="auto"/>
              <w:ind w:left="1" w:hanging="3"/>
              <w:jc w:val="both"/>
              <w:rPr>
                <w:sz w:val="26"/>
                <w:szCs w:val="26"/>
              </w:rPr>
            </w:pPr>
            <w:r>
              <w:rPr>
                <w:sz w:val="26"/>
                <w:szCs w:val="26"/>
              </w:rPr>
              <w:t>Hoàn thành dịp 30/4/2025</w:t>
            </w:r>
          </w:p>
        </w:tc>
        <w:tc>
          <w:tcPr>
            <w:tcW w:w="4961" w:type="dxa"/>
            <w:vAlign w:val="center"/>
          </w:tcPr>
          <w:p w14:paraId="05F83046">
            <w:pPr>
              <w:spacing w:line="240" w:lineRule="auto"/>
              <w:ind w:left="1" w:hanging="3"/>
              <w:jc w:val="both"/>
              <w:rPr>
                <w:sz w:val="26"/>
                <w:szCs w:val="26"/>
              </w:rPr>
            </w:pPr>
            <w:r>
              <w:rPr>
                <w:sz w:val="26"/>
                <w:szCs w:val="26"/>
              </w:rPr>
              <w:t>- Ngày 06 tháng 8 năm 2024, Phó Chủ tịch Ủy ban nhân dân Thành phố Hồ Chí Minh đã chỉ đạo hoàn thiện, trình lại Đề án tại Công văn số 4459/UBND-KT của Ủy ban nhân dân Thành phố.</w:t>
            </w:r>
          </w:p>
          <w:p w14:paraId="1D609884">
            <w:pPr>
              <w:spacing w:line="240" w:lineRule="auto"/>
              <w:ind w:left="1" w:hanging="3"/>
              <w:jc w:val="both"/>
              <w:rPr>
                <w:sz w:val="26"/>
                <w:szCs w:val="26"/>
              </w:rPr>
            </w:pPr>
            <w:r>
              <w:rPr>
                <w:sz w:val="26"/>
                <w:szCs w:val="26"/>
              </w:rPr>
              <w:t>- Ngày 16 tháng 8 năm 2024, Thành ủy đã có Công văn số 1537-CV/TU gửi Ban cán sự đảng Bộ Khoa học và Công nghệ về việc phối hợp, hỗ trợ đối với Đề án mở rộng Khu Công nghệ cao Thành phố Hồ Chí Minh (bổ sung chức năng Khu Công viên Khoa học và Công nghệ).</w:t>
            </w:r>
          </w:p>
          <w:p w14:paraId="1DC7C471">
            <w:pPr>
              <w:spacing w:line="240" w:lineRule="auto"/>
              <w:ind w:left="1" w:hanging="3"/>
              <w:jc w:val="both"/>
              <w:rPr>
                <w:sz w:val="26"/>
                <w:szCs w:val="26"/>
              </w:rPr>
            </w:pPr>
            <w:r>
              <w:rPr>
                <w:sz w:val="26"/>
                <w:szCs w:val="26"/>
              </w:rPr>
              <w:t>- Ngày 13 tháng 9 năm 2024, Ban Quản lý Khu Công nghệ cao có Tờ trình số 26/TTr-KCNC gửi Ủy ban nhân dân Thành phố về việc thẩm định Đề án mở rộng Khu Công nghệ cao Thành phố Hồ Chí Minh (Bổ sung chức năng Khu Công viên Khoa học và Công nghệ).</w:t>
            </w:r>
          </w:p>
        </w:tc>
        <w:tc>
          <w:tcPr>
            <w:tcW w:w="992" w:type="dxa"/>
            <w:gridSpan w:val="2"/>
            <w:vAlign w:val="center"/>
          </w:tcPr>
          <w:p w14:paraId="13C7D747">
            <w:pPr>
              <w:spacing w:line="240" w:lineRule="auto"/>
              <w:ind w:left="1" w:hanging="3"/>
              <w:jc w:val="center"/>
              <w:rPr>
                <w:sz w:val="26"/>
                <w:szCs w:val="26"/>
              </w:rPr>
            </w:pPr>
          </w:p>
        </w:tc>
      </w:tr>
      <w:tr w14:paraId="5E7B5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6796CAC6">
            <w:pPr>
              <w:pStyle w:val="139"/>
              <w:numPr>
                <w:ilvl w:val="0"/>
                <w:numId w:val="1"/>
              </w:numPr>
              <w:spacing w:line="240" w:lineRule="auto"/>
              <w:ind w:leftChars="0" w:firstLineChars="0"/>
              <w:jc w:val="both"/>
              <w:rPr>
                <w:sz w:val="26"/>
                <w:szCs w:val="26"/>
              </w:rPr>
            </w:pPr>
          </w:p>
        </w:tc>
        <w:tc>
          <w:tcPr>
            <w:tcW w:w="1834" w:type="dxa"/>
            <w:vAlign w:val="center"/>
          </w:tcPr>
          <w:p w14:paraId="1EEE0657">
            <w:pPr>
              <w:spacing w:line="240" w:lineRule="auto"/>
              <w:ind w:left="1" w:hanging="3"/>
              <w:jc w:val="both"/>
              <w:rPr>
                <w:sz w:val="26"/>
                <w:szCs w:val="26"/>
              </w:rPr>
            </w:pPr>
            <w:r>
              <w:rPr>
                <w:sz w:val="26"/>
                <w:szCs w:val="26"/>
              </w:rPr>
              <w:t>Đề án thành lập Trung tâm Cách mạng Công nghiệp 4.0</w:t>
            </w:r>
          </w:p>
        </w:tc>
        <w:tc>
          <w:tcPr>
            <w:tcW w:w="2351" w:type="dxa"/>
            <w:vAlign w:val="center"/>
          </w:tcPr>
          <w:p w14:paraId="2C760D7A">
            <w:pPr>
              <w:spacing w:line="240" w:lineRule="auto"/>
              <w:ind w:left="1" w:hanging="3"/>
              <w:jc w:val="both"/>
              <w:rPr>
                <w:sz w:val="26"/>
                <w:szCs w:val="26"/>
              </w:rPr>
            </w:pPr>
            <w:r>
              <w:rPr>
                <w:sz w:val="26"/>
                <w:szCs w:val="26"/>
              </w:rPr>
              <w:t>- Thường trực UBND Thành phố phụ trách: Đ/c Phan Văn Mãi, Chủ tịch Ủy ban nhân dân Thành phố</w:t>
            </w:r>
          </w:p>
          <w:p w14:paraId="47EFBAF1">
            <w:pPr>
              <w:spacing w:line="240" w:lineRule="auto"/>
              <w:ind w:left="1" w:hanging="3"/>
              <w:jc w:val="both"/>
              <w:rPr>
                <w:sz w:val="26"/>
                <w:szCs w:val="26"/>
              </w:rPr>
            </w:pPr>
            <w:r>
              <w:rPr>
                <w:sz w:val="26"/>
                <w:szCs w:val="26"/>
              </w:rPr>
              <w:t>- Đơn vị chủ trì: Ban Quản lý Khu công nghệ cao chủ trì</w:t>
            </w:r>
          </w:p>
        </w:tc>
        <w:tc>
          <w:tcPr>
            <w:tcW w:w="3178" w:type="dxa"/>
            <w:vAlign w:val="center"/>
          </w:tcPr>
          <w:p w14:paraId="52E37D2D">
            <w:pPr>
              <w:spacing w:line="240" w:lineRule="auto"/>
              <w:ind w:left="1" w:hanging="3"/>
              <w:jc w:val="both"/>
              <w:rPr>
                <w:sz w:val="26"/>
                <w:szCs w:val="26"/>
              </w:rPr>
            </w:pPr>
            <w:r>
              <w:rPr>
                <w:sz w:val="26"/>
                <w:szCs w:val="26"/>
              </w:rPr>
              <w:t>Thành lập Trung tâm Cách mạng Công nghiệp lần thứ 4 tại Thành phố Hồ Chí Minh.</w:t>
            </w:r>
          </w:p>
        </w:tc>
        <w:tc>
          <w:tcPr>
            <w:tcW w:w="1689" w:type="dxa"/>
            <w:vAlign w:val="center"/>
          </w:tcPr>
          <w:p w14:paraId="7C460814">
            <w:pPr>
              <w:spacing w:line="240" w:lineRule="auto"/>
              <w:ind w:left="1" w:hanging="3"/>
              <w:jc w:val="both"/>
              <w:rPr>
                <w:sz w:val="26"/>
                <w:szCs w:val="26"/>
              </w:rPr>
            </w:pPr>
            <w:r>
              <w:rPr>
                <w:sz w:val="26"/>
                <w:szCs w:val="26"/>
              </w:rPr>
              <w:t>Hoàn thành dịp 30/4/2025</w:t>
            </w:r>
          </w:p>
        </w:tc>
        <w:tc>
          <w:tcPr>
            <w:tcW w:w="4961" w:type="dxa"/>
            <w:vAlign w:val="center"/>
          </w:tcPr>
          <w:p w14:paraId="25B0D437">
            <w:pPr>
              <w:spacing w:line="240" w:lineRule="auto"/>
              <w:ind w:left="1" w:hanging="3"/>
              <w:jc w:val="both"/>
              <w:rPr>
                <w:sz w:val="26"/>
                <w:szCs w:val="26"/>
              </w:rPr>
            </w:pPr>
            <w:r>
              <w:rPr>
                <w:sz w:val="26"/>
                <w:szCs w:val="26"/>
              </w:rPr>
              <w:t>- Ngày 25 tháng 9 năm 2024, đã tổ chức Lễ khánh thành và Lễ ra mắt Trung tâm Cách mạng Công nghiệp lần thứ 4 vào ngày với sự tham dự của Thủ tướng Chính phủ, các Bộ, ban ngành, sáng lập viên Trung tâm Cách mạng Công nghiệp lần thứ 4.</w:t>
            </w:r>
          </w:p>
        </w:tc>
        <w:tc>
          <w:tcPr>
            <w:tcW w:w="992" w:type="dxa"/>
            <w:gridSpan w:val="2"/>
            <w:vAlign w:val="center"/>
          </w:tcPr>
          <w:p w14:paraId="0BC9F9A8">
            <w:pPr>
              <w:spacing w:line="240" w:lineRule="auto"/>
              <w:ind w:left="1" w:hanging="3"/>
              <w:jc w:val="center"/>
              <w:rPr>
                <w:sz w:val="26"/>
                <w:szCs w:val="26"/>
              </w:rPr>
            </w:pPr>
            <w:r>
              <w:rPr>
                <w:sz w:val="26"/>
                <w:szCs w:val="26"/>
              </w:rPr>
              <w:t>Đã hoàn thành</w:t>
            </w:r>
          </w:p>
        </w:tc>
      </w:tr>
      <w:tr w14:paraId="5646E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Pr>
        <w:tc>
          <w:tcPr>
            <w:tcW w:w="855" w:type="dxa"/>
            <w:vAlign w:val="center"/>
          </w:tcPr>
          <w:p w14:paraId="3C4FD09D">
            <w:pPr>
              <w:spacing w:line="240" w:lineRule="auto"/>
              <w:ind w:left="360" w:leftChars="0" w:firstLine="0" w:firstLineChars="0"/>
              <w:jc w:val="center"/>
              <w:rPr>
                <w:sz w:val="26"/>
                <w:szCs w:val="26"/>
              </w:rPr>
            </w:pPr>
            <w:r>
              <w:rPr>
                <w:b/>
                <w:sz w:val="26"/>
                <w:szCs w:val="26"/>
              </w:rPr>
              <w:t>V</w:t>
            </w:r>
          </w:p>
        </w:tc>
        <w:tc>
          <w:tcPr>
            <w:tcW w:w="14880" w:type="dxa"/>
            <w:gridSpan w:val="6"/>
            <w:vAlign w:val="center"/>
          </w:tcPr>
          <w:p w14:paraId="5D02FA3D">
            <w:pPr>
              <w:spacing w:line="240" w:lineRule="auto"/>
              <w:ind w:left="1" w:hanging="3"/>
              <w:jc w:val="both"/>
              <w:rPr>
                <w:sz w:val="26"/>
                <w:szCs w:val="26"/>
              </w:rPr>
            </w:pPr>
            <w:r>
              <w:rPr>
                <w:b/>
                <w:sz w:val="26"/>
                <w:szCs w:val="26"/>
              </w:rPr>
              <w:t>LĨNH VỰC CẢI CÁCH HÀNH CHÍNH</w:t>
            </w:r>
          </w:p>
        </w:tc>
      </w:tr>
      <w:tr w14:paraId="7363D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87AC114">
            <w:pPr>
              <w:pStyle w:val="139"/>
              <w:numPr>
                <w:ilvl w:val="0"/>
                <w:numId w:val="1"/>
              </w:numPr>
              <w:spacing w:line="240" w:lineRule="auto"/>
              <w:ind w:leftChars="0" w:firstLineChars="0"/>
              <w:jc w:val="both"/>
              <w:rPr>
                <w:sz w:val="26"/>
                <w:szCs w:val="26"/>
              </w:rPr>
            </w:pPr>
          </w:p>
        </w:tc>
        <w:tc>
          <w:tcPr>
            <w:tcW w:w="1834" w:type="dxa"/>
            <w:vAlign w:val="center"/>
          </w:tcPr>
          <w:p w14:paraId="184E1953">
            <w:pPr>
              <w:spacing w:line="240" w:lineRule="auto"/>
              <w:ind w:left="1" w:hanging="3"/>
              <w:jc w:val="both"/>
              <w:rPr>
                <w:sz w:val="26"/>
                <w:szCs w:val="26"/>
              </w:rPr>
            </w:pPr>
            <w:r>
              <w:rPr>
                <w:sz w:val="26"/>
                <w:szCs w:val="26"/>
              </w:rPr>
              <w:t>Đề án xây dựng nền công vụ Thành phố Hồ Chí Minh hoạt động hiệu lực, hiệu quả giai đoạn 2024 - 2030</w:t>
            </w:r>
          </w:p>
        </w:tc>
        <w:tc>
          <w:tcPr>
            <w:tcW w:w="2351" w:type="dxa"/>
            <w:vAlign w:val="center"/>
          </w:tcPr>
          <w:p w14:paraId="072E3EC7">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142AFF8F">
            <w:pPr>
              <w:spacing w:line="240" w:lineRule="auto"/>
              <w:ind w:left="1" w:hanging="3"/>
              <w:jc w:val="both"/>
              <w:rPr>
                <w:sz w:val="26"/>
                <w:szCs w:val="26"/>
              </w:rPr>
            </w:pPr>
            <w:r>
              <w:rPr>
                <w:sz w:val="26"/>
                <w:szCs w:val="26"/>
              </w:rPr>
              <w:t>- Đơn vị thực hiện: Sở Nội vụ</w:t>
            </w:r>
          </w:p>
        </w:tc>
        <w:tc>
          <w:tcPr>
            <w:tcW w:w="3178" w:type="dxa"/>
            <w:vAlign w:val="center"/>
          </w:tcPr>
          <w:p w14:paraId="509ACB51">
            <w:pPr>
              <w:spacing w:line="240" w:lineRule="auto"/>
              <w:ind w:left="1" w:hanging="3"/>
              <w:jc w:val="both"/>
              <w:rPr>
                <w:sz w:val="26"/>
                <w:szCs w:val="26"/>
              </w:rPr>
            </w:pPr>
            <w:r>
              <w:rPr>
                <w:sz w:val="26"/>
                <w:szCs w:val="26"/>
              </w:rPr>
              <w:t>Xây dựng các nhiệm vụ, giải pháp để nâng cao chất lượng nguồn nhân lực và cải cách xây dựng chế độ, công vụ, công chức ưu tú.</w:t>
            </w:r>
          </w:p>
        </w:tc>
        <w:tc>
          <w:tcPr>
            <w:tcW w:w="1689" w:type="dxa"/>
            <w:vAlign w:val="center"/>
          </w:tcPr>
          <w:p w14:paraId="5D76CF5F">
            <w:pPr>
              <w:spacing w:line="240" w:lineRule="auto"/>
              <w:ind w:left="1" w:hanging="3"/>
              <w:jc w:val="both"/>
              <w:rPr>
                <w:sz w:val="26"/>
                <w:szCs w:val="26"/>
              </w:rPr>
            </w:pPr>
            <w:r>
              <w:rPr>
                <w:sz w:val="26"/>
                <w:szCs w:val="26"/>
              </w:rPr>
              <w:t>Hoàn thành dịp 30/4/2025</w:t>
            </w:r>
          </w:p>
        </w:tc>
        <w:tc>
          <w:tcPr>
            <w:tcW w:w="4961" w:type="dxa"/>
            <w:vAlign w:val="center"/>
          </w:tcPr>
          <w:p w14:paraId="31FE4D66">
            <w:pPr>
              <w:spacing w:line="240" w:lineRule="auto"/>
              <w:ind w:left="1" w:hanging="3"/>
              <w:jc w:val="both"/>
              <w:rPr>
                <w:sz w:val="26"/>
                <w:szCs w:val="26"/>
              </w:rPr>
            </w:pPr>
            <w:r>
              <w:rPr>
                <w:sz w:val="26"/>
                <w:szCs w:val="26"/>
              </w:rPr>
              <w:t xml:space="preserve">Sở Nội vụ đã tham mưu Ủy ban nhân dân Thành phố báo cáo Ban cán sự đảng Ủy ban nhân dân Thành phố có Tờ trình số 791-TTr/BCSĐ ngày 18 tháng 7 năm 2024 trình Ban Thường vụ Thành ủy về Tờ trình số 4721/TTr-SNV ngày 27 tháng 6 năm 2024 của Sở Nội vụ dự thảo Đề án. </w:t>
            </w:r>
          </w:p>
          <w:p w14:paraId="03EC0C63">
            <w:pPr>
              <w:spacing w:line="240" w:lineRule="auto"/>
              <w:ind w:left="1" w:hanging="3"/>
              <w:jc w:val="both"/>
              <w:rPr>
                <w:sz w:val="26"/>
                <w:szCs w:val="26"/>
              </w:rPr>
            </w:pPr>
            <w:r>
              <w:rPr>
                <w:sz w:val="26"/>
                <w:szCs w:val="26"/>
              </w:rPr>
              <w:t>- Ngày 01 tháng 8 năm 2024, Văn phòng Thành ủy đã có Công văn số 14357-CV/VPTU gửi các đồng chí Ủy viên Ban Thường vụ Thành ủy về xin ý kiến góp ý đối với Tờ trình số 791-TTr/BCSĐ và dự thảo Đề án.</w:t>
            </w:r>
          </w:p>
          <w:p w14:paraId="11A3ECA3">
            <w:pPr>
              <w:spacing w:line="240" w:lineRule="auto"/>
              <w:ind w:left="1" w:hanging="3"/>
              <w:jc w:val="both"/>
              <w:rPr>
                <w:sz w:val="26"/>
                <w:szCs w:val="26"/>
              </w:rPr>
            </w:pPr>
            <w:r>
              <w:rPr>
                <w:sz w:val="26"/>
                <w:szCs w:val="26"/>
              </w:rPr>
              <w:t>- Ngày 13 tháng 8 năm 2024, Văn phòng Ủy ban nhân dân Thành phố có Công văn số 9332/VP-VX về việc chuyển Công văn số 14357-CV/VPTU của Văn phòng Thành ủy đến Sở Nội vụ để rà soát, tiếp thu, hoàn thiện dự thảo trình Ủy ban nhân dân Thành phố.</w:t>
            </w:r>
          </w:p>
          <w:p w14:paraId="58B9E54E">
            <w:pPr>
              <w:spacing w:line="240" w:lineRule="auto"/>
              <w:ind w:left="1" w:hanging="3"/>
              <w:jc w:val="both"/>
              <w:rPr>
                <w:sz w:val="26"/>
                <w:szCs w:val="26"/>
              </w:rPr>
            </w:pPr>
            <w:r>
              <w:rPr>
                <w:sz w:val="26"/>
                <w:szCs w:val="26"/>
              </w:rPr>
              <w:t>Trên cơ sở phối hợp với Viện Nghiên cứu phát triển, tham mưu trình Ủy ban nhân dân Thành phố báo cáo Ban cán sự đảng Ủy ban nhân dân Thành phố có Tờ trình số 969-TTr/BCSĐ ngày 28 tháng 8 năm 2024 báo cáo Thường trực Thành ủy về Tờ trình số 791-TTr/BCSĐ ngày 18 tháng 7 năm 2024 của Ban cán sự đảng Ủy ban nhân dân Thành phố về dự thảo Đề án.</w:t>
            </w:r>
          </w:p>
          <w:p w14:paraId="6E9ED519">
            <w:pPr>
              <w:spacing w:line="240" w:lineRule="auto"/>
              <w:ind w:left="1" w:hanging="3"/>
              <w:jc w:val="both"/>
              <w:rPr>
                <w:sz w:val="26"/>
                <w:szCs w:val="26"/>
              </w:rPr>
            </w:pPr>
            <w:r>
              <w:rPr>
                <w:sz w:val="26"/>
                <w:szCs w:val="26"/>
              </w:rPr>
              <w:t xml:space="preserve">Sau khi có ý kiến kết luận của Ban Thường vụ Thành ủy, Sở Nội vụ sẽ tiếp tục phối hợp Viện Nghiên cứu phát triển tham mưu trình Ủy ban nhân dân Thành phố xem xét, phê duyệt Đề án. </w:t>
            </w:r>
          </w:p>
        </w:tc>
        <w:tc>
          <w:tcPr>
            <w:tcW w:w="992" w:type="dxa"/>
            <w:gridSpan w:val="2"/>
            <w:vAlign w:val="center"/>
          </w:tcPr>
          <w:p w14:paraId="5E621245">
            <w:pPr>
              <w:spacing w:line="240" w:lineRule="auto"/>
              <w:ind w:left="1" w:hanging="3"/>
              <w:jc w:val="center"/>
              <w:rPr>
                <w:sz w:val="26"/>
                <w:szCs w:val="26"/>
              </w:rPr>
            </w:pPr>
          </w:p>
        </w:tc>
      </w:tr>
      <w:tr w14:paraId="1893E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58BD71A3">
            <w:pPr>
              <w:pStyle w:val="139"/>
              <w:numPr>
                <w:ilvl w:val="0"/>
                <w:numId w:val="1"/>
              </w:numPr>
              <w:spacing w:line="240" w:lineRule="auto"/>
              <w:ind w:leftChars="0" w:firstLineChars="0"/>
              <w:jc w:val="both"/>
              <w:rPr>
                <w:sz w:val="26"/>
                <w:szCs w:val="26"/>
              </w:rPr>
            </w:pPr>
          </w:p>
        </w:tc>
        <w:tc>
          <w:tcPr>
            <w:tcW w:w="1834" w:type="dxa"/>
            <w:vAlign w:val="center"/>
          </w:tcPr>
          <w:p w14:paraId="76BD4F41">
            <w:pPr>
              <w:spacing w:line="240" w:lineRule="auto"/>
              <w:ind w:left="1" w:hanging="3"/>
              <w:jc w:val="both"/>
              <w:rPr>
                <w:sz w:val="26"/>
                <w:szCs w:val="26"/>
              </w:rPr>
            </w:pPr>
            <w:r>
              <w:rPr>
                <w:sz w:val="26"/>
                <w:szCs w:val="26"/>
              </w:rPr>
              <w:t>“Hệ thống dịch vụ số dành cho công dân Thành phố Hồ Chí Minh - Hồ Chí Minh Citizen Eservices”</w:t>
            </w:r>
          </w:p>
          <w:p w14:paraId="57967709">
            <w:pPr>
              <w:spacing w:line="240" w:lineRule="auto"/>
              <w:ind w:left="1" w:hanging="3"/>
              <w:jc w:val="both"/>
              <w:rPr>
                <w:sz w:val="26"/>
                <w:szCs w:val="26"/>
              </w:rPr>
            </w:pPr>
          </w:p>
        </w:tc>
        <w:tc>
          <w:tcPr>
            <w:tcW w:w="2351" w:type="dxa"/>
            <w:vAlign w:val="center"/>
          </w:tcPr>
          <w:p w14:paraId="42616903">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2E0682A4">
            <w:pPr>
              <w:spacing w:line="240" w:lineRule="auto"/>
              <w:ind w:left="1" w:hanging="3"/>
              <w:jc w:val="both"/>
              <w:rPr>
                <w:sz w:val="26"/>
                <w:szCs w:val="26"/>
              </w:rPr>
            </w:pPr>
            <w:r>
              <w:rPr>
                <w:sz w:val="26"/>
                <w:szCs w:val="26"/>
              </w:rPr>
              <w:t>- Đơn vị thực hiện: Sở Thông tin và Truyền thông</w:t>
            </w:r>
          </w:p>
        </w:tc>
        <w:tc>
          <w:tcPr>
            <w:tcW w:w="3178" w:type="dxa"/>
            <w:vAlign w:val="center"/>
          </w:tcPr>
          <w:p w14:paraId="4ACE8C4B">
            <w:pPr>
              <w:spacing w:line="240" w:lineRule="auto"/>
              <w:ind w:left="1" w:hanging="3"/>
              <w:jc w:val="both"/>
              <w:rPr>
                <w:sz w:val="26"/>
                <w:szCs w:val="26"/>
              </w:rPr>
            </w:pPr>
            <w:r>
              <w:rPr>
                <w:sz w:val="26"/>
                <w:szCs w:val="26"/>
              </w:rPr>
              <w:t>Hệ thống là sản phẩm tích hợp các Dịch vụ công trực tuyến của Thành phố thông qua một Nền tảng số thống nhất nhằm phục vụ Người dân có một trải nghiệm tốt nhất từ các dịch vụ của Chính quyền Thành phố Hồ Chí Minh trên môi trường số.</w:t>
            </w:r>
          </w:p>
        </w:tc>
        <w:tc>
          <w:tcPr>
            <w:tcW w:w="1689" w:type="dxa"/>
            <w:vAlign w:val="center"/>
          </w:tcPr>
          <w:p w14:paraId="70E8F45B">
            <w:pPr>
              <w:spacing w:line="240" w:lineRule="auto"/>
              <w:ind w:left="1" w:hanging="3"/>
              <w:jc w:val="both"/>
              <w:rPr>
                <w:sz w:val="26"/>
                <w:szCs w:val="26"/>
              </w:rPr>
            </w:pPr>
            <w:r>
              <w:rPr>
                <w:sz w:val="26"/>
                <w:szCs w:val="26"/>
              </w:rPr>
              <w:t>Hoàn thành dịp 30/4/2025</w:t>
            </w:r>
          </w:p>
        </w:tc>
        <w:tc>
          <w:tcPr>
            <w:tcW w:w="4961" w:type="dxa"/>
            <w:vAlign w:val="center"/>
          </w:tcPr>
          <w:p w14:paraId="33F34277">
            <w:pPr>
              <w:spacing w:line="240" w:lineRule="auto"/>
              <w:ind w:left="1" w:hanging="3"/>
              <w:jc w:val="both"/>
              <w:rPr>
                <w:sz w:val="26"/>
                <w:szCs w:val="26"/>
              </w:rPr>
            </w:pPr>
            <w:r>
              <w:rPr>
                <w:sz w:val="26"/>
                <w:szCs w:val="26"/>
              </w:rPr>
              <w:t>Công trình gồm 02 nhiệm vụ trọng tâm:</w:t>
            </w:r>
          </w:p>
          <w:p w14:paraId="1649AF5E">
            <w:pPr>
              <w:spacing w:line="240" w:lineRule="auto"/>
              <w:ind w:left="1" w:hanging="3"/>
              <w:jc w:val="both"/>
              <w:rPr>
                <w:sz w:val="26"/>
                <w:szCs w:val="26"/>
              </w:rPr>
            </w:pPr>
            <w:r>
              <w:rPr>
                <w:i/>
                <w:sz w:val="26"/>
                <w:szCs w:val="26"/>
              </w:rPr>
              <w:t>- Nhiệm vụ 1: Triển khai các nền tảng cung cấp dịch vụ công cho người dân:</w:t>
            </w:r>
            <w:r>
              <w:rPr>
                <w:sz w:val="26"/>
                <w:szCs w:val="26"/>
              </w:rPr>
              <w:t xml:space="preserve"> đã triển khai đưa vào vận hành </w:t>
            </w:r>
            <w:r>
              <w:rPr>
                <w:i/>
                <w:sz w:val="26"/>
                <w:szCs w:val="26"/>
              </w:rPr>
              <w:t>Hệ thống thông tin giải quyết thủ tục hành chính,</w:t>
            </w:r>
            <w:r>
              <w:rPr>
                <w:sz w:val="26"/>
                <w:szCs w:val="26"/>
              </w:rPr>
              <w:t xml:space="preserve"> cung cấp 611 dịch vụ công trực tuyến toàn trình, 355 dịch vụ công trực tuyến một phần; triển khai hệ thống phiên bản mới </w:t>
            </w:r>
            <w:r>
              <w:rPr>
                <w:i/>
                <w:sz w:val="26"/>
                <w:szCs w:val="26"/>
              </w:rPr>
              <w:t>hệ thống Cổng  thông tin 1022</w:t>
            </w:r>
            <w:r>
              <w:rPr>
                <w:sz w:val="26"/>
                <w:szCs w:val="26"/>
              </w:rPr>
              <w:t xml:space="preserve">; đã tham mưu Ủy ban nhân dân Thành phố ban hành Quy chế phối hợp tiếp nhận, xử lý và phản hồi thông tin trên Cổng tiếp nhận và giải đáp thông tin cho người dân, doanh nghiệp, tổ chức trên địa bàn Thành phố Hồ Chí Minh theo Quyết định số 4874/QĐ-UBND ngày 26 tháng 10 năm 2023; vận hành chính thức </w:t>
            </w:r>
            <w:r>
              <w:rPr>
                <w:i/>
                <w:sz w:val="26"/>
                <w:szCs w:val="26"/>
              </w:rPr>
              <w:t>Nền tảng bản đồ số dùng chung</w:t>
            </w:r>
            <w:r>
              <w:rPr>
                <w:sz w:val="26"/>
                <w:szCs w:val="26"/>
              </w:rPr>
              <w:t xml:space="preserve"> của Thành phố vào tháng 10 năm 2023 làm cơ sở nền tảng cho các hệ thống thông tin </w:t>
            </w:r>
            <w:r>
              <w:rPr>
                <w:spacing w:val="-6"/>
                <w:sz w:val="26"/>
                <w:szCs w:val="26"/>
              </w:rPr>
              <w:t>địa lý (GIS) của chính quyền điện tử Thành phố.</w:t>
            </w:r>
          </w:p>
          <w:p w14:paraId="23D95E59">
            <w:pPr>
              <w:spacing w:line="240" w:lineRule="auto"/>
              <w:ind w:left="1" w:hanging="3"/>
              <w:jc w:val="both"/>
              <w:rPr>
                <w:sz w:val="26"/>
                <w:szCs w:val="26"/>
              </w:rPr>
            </w:pPr>
            <w:r>
              <w:rPr>
                <w:i/>
                <w:sz w:val="26"/>
                <w:szCs w:val="26"/>
              </w:rPr>
              <w:t>- Nhiệm vụ 2:</w:t>
            </w:r>
            <w:r>
              <w:rPr>
                <w:sz w:val="26"/>
                <w:szCs w:val="26"/>
              </w:rPr>
              <w:t xml:space="preserve"> </w:t>
            </w:r>
            <w:r>
              <w:rPr>
                <w:i/>
                <w:sz w:val="26"/>
                <w:szCs w:val="26"/>
              </w:rPr>
              <w:t>Triển khai Ứng dụng di độngCông dân Thành phố (HCM Citizen E-Services):</w:t>
            </w:r>
            <w:r>
              <w:rPr>
                <w:sz w:val="26"/>
                <w:szCs w:val="26"/>
              </w:rPr>
              <w:t xml:space="preserve"> Trung tâm chuyển đổi số Thành phố Hồ Chí Minh đã tổ chức đầu tư và đang triển khai đưa vào vận hành thử nghiệm</w:t>
            </w:r>
            <w:r>
              <w:rPr>
                <w:i/>
                <w:sz w:val="26"/>
                <w:szCs w:val="26"/>
              </w:rPr>
              <w:t xml:space="preserve"> </w:t>
            </w:r>
            <w:r>
              <w:rPr>
                <w:sz w:val="26"/>
                <w:szCs w:val="26"/>
              </w:rPr>
              <w:t xml:space="preserve">Ứng dụng di </w:t>
            </w:r>
            <w:r>
              <w:rPr>
                <w:spacing w:val="-8"/>
                <w:sz w:val="26"/>
                <w:szCs w:val="26"/>
              </w:rPr>
              <w:t>động Công dân Thành phố trong quý IV năm 2024.</w:t>
            </w:r>
          </w:p>
        </w:tc>
        <w:tc>
          <w:tcPr>
            <w:tcW w:w="992" w:type="dxa"/>
            <w:gridSpan w:val="2"/>
            <w:vAlign w:val="center"/>
          </w:tcPr>
          <w:p w14:paraId="650554D2">
            <w:pPr>
              <w:spacing w:line="240" w:lineRule="auto"/>
              <w:ind w:left="1" w:hanging="3"/>
              <w:jc w:val="center"/>
              <w:rPr>
                <w:sz w:val="26"/>
                <w:szCs w:val="26"/>
              </w:rPr>
            </w:pPr>
          </w:p>
        </w:tc>
      </w:tr>
      <w:tr w14:paraId="3A6B67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7D843F63">
            <w:pPr>
              <w:pStyle w:val="139"/>
              <w:numPr>
                <w:ilvl w:val="0"/>
                <w:numId w:val="1"/>
              </w:numPr>
              <w:spacing w:line="240" w:lineRule="auto"/>
              <w:ind w:leftChars="0" w:firstLineChars="0"/>
              <w:jc w:val="both"/>
              <w:rPr>
                <w:sz w:val="26"/>
                <w:szCs w:val="26"/>
              </w:rPr>
            </w:pPr>
          </w:p>
        </w:tc>
        <w:tc>
          <w:tcPr>
            <w:tcW w:w="1834" w:type="dxa"/>
            <w:vAlign w:val="center"/>
          </w:tcPr>
          <w:p w14:paraId="5580A6CF">
            <w:pPr>
              <w:spacing w:line="240" w:lineRule="auto"/>
              <w:ind w:left="1" w:hanging="3"/>
              <w:jc w:val="both"/>
              <w:rPr>
                <w:sz w:val="26"/>
                <w:szCs w:val="26"/>
              </w:rPr>
            </w:pPr>
            <w:r>
              <w:rPr>
                <w:sz w:val="26"/>
                <w:szCs w:val="26"/>
              </w:rPr>
              <w:t>“Xây dựng chính quyền số Thành phố Hồ Chí Minh”</w:t>
            </w:r>
          </w:p>
          <w:p w14:paraId="438C3821">
            <w:pPr>
              <w:spacing w:line="240" w:lineRule="auto"/>
              <w:ind w:left="1" w:hanging="3"/>
              <w:jc w:val="both"/>
              <w:rPr>
                <w:sz w:val="26"/>
                <w:szCs w:val="26"/>
              </w:rPr>
            </w:pPr>
          </w:p>
        </w:tc>
        <w:tc>
          <w:tcPr>
            <w:tcW w:w="2351" w:type="dxa"/>
            <w:vAlign w:val="center"/>
          </w:tcPr>
          <w:p w14:paraId="75521729">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694F838B">
            <w:pPr>
              <w:spacing w:line="240" w:lineRule="auto"/>
              <w:ind w:left="1" w:hanging="3"/>
              <w:jc w:val="both"/>
              <w:rPr>
                <w:sz w:val="26"/>
                <w:szCs w:val="26"/>
              </w:rPr>
            </w:pPr>
            <w:r>
              <w:rPr>
                <w:sz w:val="26"/>
                <w:szCs w:val="26"/>
              </w:rPr>
              <w:t xml:space="preserve">- Đơn vị chủ trì: Sở Thông tin </w:t>
            </w:r>
            <w:r>
              <w:rPr>
                <w:sz w:val="26"/>
                <w:szCs w:val="26"/>
              </w:rPr>
              <w:br w:type="textWrapping"/>
            </w:r>
            <w:r>
              <w:rPr>
                <w:sz w:val="26"/>
                <w:szCs w:val="26"/>
              </w:rPr>
              <w:t>và Truyền thông</w:t>
            </w:r>
          </w:p>
          <w:p w14:paraId="2A764AE2">
            <w:pPr>
              <w:spacing w:line="240" w:lineRule="auto"/>
              <w:ind w:left="1" w:hanging="3"/>
              <w:jc w:val="center"/>
              <w:rPr>
                <w:sz w:val="26"/>
                <w:szCs w:val="26"/>
              </w:rPr>
            </w:pPr>
          </w:p>
        </w:tc>
        <w:tc>
          <w:tcPr>
            <w:tcW w:w="3178" w:type="dxa"/>
            <w:vAlign w:val="center"/>
          </w:tcPr>
          <w:p w14:paraId="17237C59">
            <w:pPr>
              <w:spacing w:line="240" w:lineRule="auto"/>
              <w:ind w:left="1" w:hanging="3"/>
              <w:jc w:val="both"/>
              <w:rPr>
                <w:sz w:val="26"/>
                <w:szCs w:val="26"/>
              </w:rPr>
            </w:pPr>
            <w:r>
              <w:rPr>
                <w:sz w:val="26"/>
                <w:szCs w:val="26"/>
              </w:rPr>
              <w:t>Tạo ra một chính quyền hiện đại, tiên phong trong việc ứng dụng công nghệ thông tin và trí tuệ nhân tạo vào việc quản lý và cung cấp dịch vụ công nhằm phục vụ cho người dân, doanh nghiệp Thành phố hiệu quả hơn; giúp cơ quan Nhà nước tăng cường minh bạch, tạo điều kiện thuận lợi cho kinh doanh và đầu tư, nâng cao chất lượng cuộc sống và phát triển Thành phố thông minh.</w:t>
            </w:r>
          </w:p>
        </w:tc>
        <w:tc>
          <w:tcPr>
            <w:tcW w:w="1689" w:type="dxa"/>
            <w:vAlign w:val="center"/>
          </w:tcPr>
          <w:p w14:paraId="4766174E">
            <w:pPr>
              <w:spacing w:line="240" w:lineRule="auto"/>
              <w:ind w:left="1" w:hanging="3"/>
              <w:jc w:val="both"/>
              <w:rPr>
                <w:sz w:val="26"/>
                <w:szCs w:val="26"/>
              </w:rPr>
            </w:pPr>
            <w:r>
              <w:rPr>
                <w:sz w:val="26"/>
                <w:szCs w:val="26"/>
              </w:rPr>
              <w:t>Hoàn thành dịp 30/4/2025</w:t>
            </w:r>
          </w:p>
        </w:tc>
        <w:tc>
          <w:tcPr>
            <w:tcW w:w="4961" w:type="dxa"/>
            <w:vAlign w:val="center"/>
          </w:tcPr>
          <w:p w14:paraId="3298F549">
            <w:pPr>
              <w:spacing w:line="240" w:lineRule="auto"/>
              <w:ind w:left="1" w:hanging="3"/>
              <w:jc w:val="both"/>
              <w:rPr>
                <w:sz w:val="26"/>
                <w:szCs w:val="26"/>
              </w:rPr>
            </w:pPr>
            <w:r>
              <w:rPr>
                <w:sz w:val="26"/>
                <w:szCs w:val="26"/>
              </w:rPr>
              <w:t>Công trình gồm các nhiệm vụ trọng tâm:</w:t>
            </w:r>
          </w:p>
          <w:p w14:paraId="3106C537">
            <w:pPr>
              <w:spacing w:line="240" w:lineRule="auto"/>
              <w:ind w:left="1" w:hanging="3"/>
              <w:jc w:val="both"/>
              <w:rPr>
                <w:sz w:val="26"/>
                <w:szCs w:val="26"/>
              </w:rPr>
            </w:pPr>
            <w:r>
              <w:rPr>
                <w:sz w:val="26"/>
                <w:szCs w:val="26"/>
              </w:rPr>
              <w:t xml:space="preserve">- </w:t>
            </w:r>
            <w:r>
              <w:rPr>
                <w:b/>
                <w:i/>
                <w:sz w:val="26"/>
                <w:szCs w:val="26"/>
              </w:rPr>
              <w:t>Hoàn thành số hóa quy trình Giải quyết Thủ tục hành chính:</w:t>
            </w:r>
            <w:r>
              <w:rPr>
                <w:i/>
                <w:sz w:val="26"/>
                <w:szCs w:val="26"/>
              </w:rPr>
              <w:t xml:space="preserve"> </w:t>
            </w:r>
            <w:r>
              <w:rPr>
                <w:sz w:val="26"/>
                <w:szCs w:val="26"/>
              </w:rPr>
              <w:t>Đã ra mắt và vận hành nền tảng Hệ thống thông tin Giải quyết thủ tục hành chính Thành phố thống nhất.</w:t>
            </w:r>
          </w:p>
          <w:p w14:paraId="6BC8A4B2">
            <w:pPr>
              <w:spacing w:line="240" w:lineRule="auto"/>
              <w:ind w:left="1" w:hanging="3"/>
              <w:jc w:val="both"/>
              <w:rPr>
                <w:sz w:val="26"/>
                <w:szCs w:val="26"/>
              </w:rPr>
            </w:pPr>
            <w:r>
              <w:rPr>
                <w:sz w:val="26"/>
                <w:szCs w:val="26"/>
              </w:rPr>
              <w:t xml:space="preserve">- </w:t>
            </w:r>
            <w:r>
              <w:rPr>
                <w:b/>
                <w:i/>
                <w:sz w:val="26"/>
                <w:szCs w:val="26"/>
              </w:rPr>
              <w:t>Hoàn thành số hóa quy trình Quản lý văn bản và điều hành:</w:t>
            </w:r>
            <w:r>
              <w:rPr>
                <w:i/>
                <w:sz w:val="26"/>
                <w:szCs w:val="26"/>
              </w:rPr>
              <w:t xml:space="preserve"> </w:t>
            </w:r>
            <w:r>
              <w:rPr>
                <w:sz w:val="26"/>
                <w:szCs w:val="26"/>
              </w:rPr>
              <w:t>Sở Thông tin và Truyền thông đã phối hợp Sở Nội vụ hướng dẫn về nghiệp vụ văn thư, công tác số hóa và ký số cho các đơn vị; triển khai nền tảng liên thông Văn bản điều hành; triển khai nền tảng số hóa và lưu trữ Thành phố.</w:t>
            </w:r>
          </w:p>
          <w:p w14:paraId="0B633914">
            <w:pPr>
              <w:spacing w:line="240" w:lineRule="auto"/>
              <w:ind w:left="1" w:hanging="3"/>
              <w:jc w:val="both"/>
              <w:rPr>
                <w:b/>
                <w:i/>
                <w:sz w:val="26"/>
                <w:szCs w:val="26"/>
              </w:rPr>
            </w:pPr>
            <w:r>
              <w:rPr>
                <w:sz w:val="26"/>
                <w:szCs w:val="26"/>
              </w:rPr>
              <w:t xml:space="preserve">-  </w:t>
            </w:r>
            <w:r>
              <w:rPr>
                <w:b/>
                <w:i/>
                <w:sz w:val="26"/>
                <w:szCs w:val="26"/>
              </w:rPr>
              <w:t xml:space="preserve">Hoàn thành và đưa vào vận hành chính </w:t>
            </w:r>
            <w:r>
              <w:rPr>
                <w:rFonts w:ascii="Times New Roman Bold" w:hAnsi="Times New Roman Bold"/>
                <w:b/>
                <w:i/>
                <w:spacing w:val="-10"/>
                <w:sz w:val="26"/>
                <w:szCs w:val="26"/>
              </w:rPr>
              <w:t>thức Hệ thống khiếu nại tố cáo toàn Thành phố.</w:t>
            </w:r>
          </w:p>
          <w:p w14:paraId="789163D8">
            <w:pPr>
              <w:spacing w:line="240" w:lineRule="auto"/>
              <w:ind w:left="1" w:hanging="3"/>
              <w:jc w:val="both"/>
              <w:rPr>
                <w:sz w:val="26"/>
                <w:szCs w:val="26"/>
              </w:rPr>
            </w:pPr>
            <w:r>
              <w:rPr>
                <w:sz w:val="26"/>
                <w:szCs w:val="26"/>
              </w:rPr>
              <w:t xml:space="preserve">- </w:t>
            </w:r>
            <w:r>
              <w:rPr>
                <w:b/>
                <w:i/>
                <w:sz w:val="26"/>
                <w:szCs w:val="26"/>
              </w:rPr>
              <w:t xml:space="preserve">Vận hành Hệ thống quản trị thực thi và điều hành Thành phố dựa trên các nền tảng </w:t>
            </w:r>
            <w:r>
              <w:rPr>
                <w:b/>
                <w:sz w:val="26"/>
                <w:szCs w:val="26"/>
              </w:rPr>
              <w:t>s</w:t>
            </w:r>
            <w:r>
              <w:rPr>
                <w:b/>
                <w:i/>
                <w:sz w:val="26"/>
                <w:szCs w:val="26"/>
              </w:rPr>
              <w:t>ố</w:t>
            </w:r>
            <w:r>
              <w:rPr>
                <w:b/>
                <w:sz w:val="26"/>
                <w:szCs w:val="26"/>
              </w:rPr>
              <w:t>:</w:t>
            </w:r>
            <w:r>
              <w:rPr>
                <w:sz w:val="26"/>
                <w:szCs w:val="26"/>
              </w:rPr>
              <w:t xml:space="preserve"> Đã đưa vào vận hành; bước đầu cung cấp những tổng hợp, thống kê ban đầu về các chỉ tiêu kinh tế - xã hội; giám sát việc cung cấp dịch vụ công, giám sát xử lý phản ánh kiến nghị người dân. Hệ thống sẽ tiếp tục mở rộng, hoàn thiện hệ thống từ nay đến 2025:</w:t>
            </w:r>
          </w:p>
          <w:p w14:paraId="7CB03C6B">
            <w:pPr>
              <w:spacing w:line="240" w:lineRule="auto"/>
              <w:ind w:left="1" w:hanging="3"/>
              <w:jc w:val="both"/>
              <w:rPr>
                <w:sz w:val="26"/>
                <w:szCs w:val="26"/>
              </w:rPr>
            </w:pPr>
            <w:r>
              <w:rPr>
                <w:sz w:val="26"/>
                <w:szCs w:val="26"/>
              </w:rPr>
              <w:t>+ Tiếp tục hoàn thiện Kho dữ liệu dùng chung, dữ liệu GIS Thành phố phục vụ khai thác, mở rộng các dashboard, tính năng dự báo thông qua việc ứng dụng AI và triển khai các Trợ lý số.</w:t>
            </w:r>
          </w:p>
          <w:p w14:paraId="100AC4E4">
            <w:pPr>
              <w:spacing w:line="240" w:lineRule="auto"/>
              <w:ind w:left="1" w:hanging="3"/>
              <w:jc w:val="both"/>
              <w:rPr>
                <w:sz w:val="26"/>
                <w:szCs w:val="26"/>
              </w:rPr>
            </w:pPr>
            <w:r>
              <w:rPr>
                <w:sz w:val="26"/>
                <w:szCs w:val="26"/>
              </w:rPr>
              <w:t>+  Triển khai hoàn thiện Trung tâm điều hành Thành phố và các đơn vị.</w:t>
            </w:r>
          </w:p>
        </w:tc>
        <w:tc>
          <w:tcPr>
            <w:tcW w:w="992" w:type="dxa"/>
            <w:gridSpan w:val="2"/>
            <w:vAlign w:val="center"/>
          </w:tcPr>
          <w:p w14:paraId="08302796">
            <w:pPr>
              <w:spacing w:line="240" w:lineRule="auto"/>
              <w:ind w:left="1" w:hanging="3"/>
              <w:jc w:val="center"/>
              <w:rPr>
                <w:sz w:val="26"/>
                <w:szCs w:val="26"/>
              </w:rPr>
            </w:pPr>
          </w:p>
        </w:tc>
      </w:tr>
      <w:tr w14:paraId="421F8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25" w:type="dxa"/>
        </w:trPr>
        <w:tc>
          <w:tcPr>
            <w:tcW w:w="855" w:type="dxa"/>
            <w:vAlign w:val="center"/>
          </w:tcPr>
          <w:p w14:paraId="4565FB10">
            <w:pPr>
              <w:spacing w:line="240" w:lineRule="auto"/>
              <w:ind w:left="0" w:leftChars="0" w:firstLine="0" w:firstLineChars="0"/>
              <w:jc w:val="center"/>
              <w:rPr>
                <w:sz w:val="26"/>
                <w:szCs w:val="26"/>
              </w:rPr>
            </w:pPr>
            <w:r>
              <w:rPr>
                <w:b/>
                <w:sz w:val="26"/>
                <w:szCs w:val="26"/>
              </w:rPr>
              <w:t>VI</w:t>
            </w:r>
          </w:p>
        </w:tc>
        <w:tc>
          <w:tcPr>
            <w:tcW w:w="14880" w:type="dxa"/>
            <w:gridSpan w:val="6"/>
            <w:vAlign w:val="center"/>
          </w:tcPr>
          <w:p w14:paraId="745D80B5">
            <w:pPr>
              <w:spacing w:line="240" w:lineRule="auto"/>
              <w:ind w:left="1" w:hanging="3"/>
              <w:jc w:val="both"/>
              <w:rPr>
                <w:sz w:val="26"/>
                <w:szCs w:val="26"/>
              </w:rPr>
            </w:pPr>
            <w:r>
              <w:rPr>
                <w:b/>
                <w:sz w:val="26"/>
                <w:szCs w:val="26"/>
              </w:rPr>
              <w:t>QUỐC PHÒNG AN NINH - ĐỐI NGOẠI</w:t>
            </w:r>
          </w:p>
        </w:tc>
      </w:tr>
      <w:tr w14:paraId="76DC7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FC468B8">
            <w:pPr>
              <w:pStyle w:val="139"/>
              <w:numPr>
                <w:ilvl w:val="0"/>
                <w:numId w:val="1"/>
              </w:numPr>
              <w:spacing w:line="240" w:lineRule="auto"/>
              <w:ind w:leftChars="0" w:firstLineChars="0"/>
              <w:jc w:val="both"/>
              <w:rPr>
                <w:sz w:val="26"/>
                <w:szCs w:val="26"/>
              </w:rPr>
            </w:pPr>
          </w:p>
        </w:tc>
        <w:tc>
          <w:tcPr>
            <w:tcW w:w="1834" w:type="dxa"/>
            <w:vAlign w:val="center"/>
          </w:tcPr>
          <w:p w14:paraId="3CF23D9A">
            <w:pPr>
              <w:spacing w:line="240" w:lineRule="auto"/>
              <w:ind w:left="1" w:hanging="3"/>
              <w:jc w:val="both"/>
              <w:rPr>
                <w:sz w:val="26"/>
                <w:szCs w:val="26"/>
              </w:rPr>
            </w:pPr>
            <w:r>
              <w:rPr>
                <w:sz w:val="26"/>
                <w:szCs w:val="26"/>
              </w:rPr>
              <w:t>Ứng dụng công nghệ thông tin - chuyển đổi số của ngành Công an Thành phố</w:t>
            </w:r>
          </w:p>
        </w:tc>
        <w:tc>
          <w:tcPr>
            <w:tcW w:w="2351" w:type="dxa"/>
            <w:vAlign w:val="center"/>
          </w:tcPr>
          <w:p w14:paraId="3431FFDB">
            <w:pPr>
              <w:spacing w:line="240" w:lineRule="auto"/>
              <w:ind w:left="1" w:hanging="3"/>
              <w:jc w:val="both"/>
              <w:rPr>
                <w:sz w:val="26"/>
                <w:szCs w:val="26"/>
              </w:rPr>
            </w:pPr>
            <w:r>
              <w:rPr>
                <w:sz w:val="26"/>
                <w:szCs w:val="26"/>
              </w:rPr>
              <w:t xml:space="preserve">- Thường trực UBND Thành phố phụ trách: </w:t>
            </w:r>
            <w:r>
              <w:rPr>
                <w:spacing w:val="-16"/>
                <w:sz w:val="26"/>
                <w:szCs w:val="26"/>
                <w:lang w:val="nb-NO"/>
              </w:rPr>
              <w:t>Đ/c Dương Ngọc Hải,</w:t>
            </w:r>
            <w:r>
              <w:rPr>
                <w:sz w:val="26"/>
                <w:szCs w:val="26"/>
                <w:lang w:val="nb-NO"/>
              </w:rPr>
              <w:t xml:space="preserve"> Phó Chủ tịch </w:t>
            </w:r>
            <w:r>
              <w:rPr>
                <w:sz w:val="26"/>
                <w:szCs w:val="26"/>
                <w:lang w:val="nb-NO"/>
              </w:rPr>
              <w:br w:type="textWrapping"/>
            </w:r>
            <w:r>
              <w:rPr>
                <w:sz w:val="26"/>
                <w:szCs w:val="26"/>
                <w:lang w:val="nb-NO"/>
              </w:rPr>
              <w:t>Ủy ban nhân dân Thành phố</w:t>
            </w:r>
            <w:r>
              <w:rPr>
                <w:sz w:val="26"/>
                <w:szCs w:val="26"/>
              </w:rPr>
              <w:t xml:space="preserve"> </w:t>
            </w:r>
          </w:p>
          <w:p w14:paraId="7D315643">
            <w:pPr>
              <w:spacing w:line="240" w:lineRule="auto"/>
              <w:ind w:left="1" w:hanging="3"/>
              <w:jc w:val="both"/>
              <w:rPr>
                <w:sz w:val="26"/>
                <w:szCs w:val="26"/>
              </w:rPr>
            </w:pPr>
            <w:r>
              <w:rPr>
                <w:sz w:val="26"/>
                <w:szCs w:val="26"/>
              </w:rPr>
              <w:t>- Đơn vị chủ trì: Công an Thành phố</w:t>
            </w:r>
          </w:p>
        </w:tc>
        <w:tc>
          <w:tcPr>
            <w:tcW w:w="3178" w:type="dxa"/>
            <w:vAlign w:val="center"/>
          </w:tcPr>
          <w:p w14:paraId="68C74325">
            <w:pPr>
              <w:spacing w:line="240" w:lineRule="auto"/>
              <w:ind w:left="1" w:hanging="3"/>
              <w:jc w:val="both"/>
              <w:rPr>
                <w:sz w:val="26"/>
                <w:szCs w:val="26"/>
              </w:rPr>
            </w:pPr>
            <w:r>
              <w:rPr>
                <w:sz w:val="26"/>
                <w:szCs w:val="26"/>
              </w:rPr>
              <w:t>Góp phần thay đổi phương thức hoạt động, nâng cao hiệu quả công tác chỉ huy, điều phối, triển khai lực lượng và tăng cường thông tin liên lạc phục vụ công tác tuần tra, kiểm soát đảm bảo an ninh, trật tự trên địa bàn Thành phố. Phối hợp Sở Thông tin và Truyền thông thực hiện Dự án Ứng dụng (App) cảnh báo khẩn cấp về an ninh trật tự trên địa bàn Thành phố. Triển khai hệ thống phần mềm quản lý văn bản và điều hành tác nghiệp của Bộ Công an và triển khai mạng liên thông chuyển - nhận văn bản Ủy ban nhân dân Thành phố đến Công an các đơn vị, địa phương thuộc Công an Thành phố.</w:t>
            </w:r>
          </w:p>
        </w:tc>
        <w:tc>
          <w:tcPr>
            <w:tcW w:w="1689" w:type="dxa"/>
            <w:vAlign w:val="center"/>
          </w:tcPr>
          <w:p w14:paraId="3F67D78E">
            <w:pPr>
              <w:spacing w:line="240" w:lineRule="auto"/>
              <w:ind w:left="1" w:hanging="3"/>
              <w:jc w:val="both"/>
              <w:rPr>
                <w:sz w:val="26"/>
                <w:szCs w:val="26"/>
              </w:rPr>
            </w:pPr>
            <w:r>
              <w:rPr>
                <w:sz w:val="26"/>
                <w:szCs w:val="26"/>
              </w:rPr>
              <w:t>Hoàn thành dịp 30/4/2025</w:t>
            </w:r>
          </w:p>
        </w:tc>
        <w:tc>
          <w:tcPr>
            <w:tcW w:w="4961" w:type="dxa"/>
            <w:vAlign w:val="center"/>
          </w:tcPr>
          <w:p w14:paraId="0DC538C2">
            <w:pPr>
              <w:spacing w:line="240" w:lineRule="auto"/>
              <w:ind w:left="1" w:hanging="3"/>
              <w:jc w:val="both"/>
              <w:rPr>
                <w:sz w:val="26"/>
                <w:szCs w:val="26"/>
              </w:rPr>
            </w:pPr>
            <w:r>
              <w:rPr>
                <w:sz w:val="26"/>
                <w:szCs w:val="26"/>
              </w:rPr>
              <w:t xml:space="preserve">1. Triển khai “Ứng dụng bản đồ số tại Trung tâm Thông tin chỉ huy Công an Thành phố phục vụ công tác chỉ huy, điều hành, triển khai lực lượng thuộc Công an Thành phố tuần tra, kiểm soát đảm bảo an ninh, trật tự trên địa bàn Thành phố”: đã hoàn thành công trình; hiện nay, nội dung công việc này vẫn tiếp tục thực hiện theo dõi, giám sát, điều phối hoạt động tuần tra kiểm </w:t>
            </w:r>
            <w:r>
              <w:rPr>
                <w:spacing w:val="-10"/>
                <w:sz w:val="26"/>
                <w:szCs w:val="26"/>
              </w:rPr>
              <w:t>soát của Công an các đơn vị địa phương, các Tổ 363.</w:t>
            </w:r>
          </w:p>
          <w:p w14:paraId="621F199B">
            <w:pPr>
              <w:spacing w:line="240" w:lineRule="auto"/>
              <w:ind w:left="1" w:hanging="3"/>
              <w:jc w:val="both"/>
              <w:rPr>
                <w:sz w:val="26"/>
                <w:szCs w:val="26"/>
              </w:rPr>
            </w:pPr>
            <w:r>
              <w:rPr>
                <w:sz w:val="26"/>
                <w:szCs w:val="26"/>
              </w:rPr>
              <w:t>2. Nội dung “Nâng cấp hệ thống tiếp nhận và xử lý thông tin khẩn cấp “Help 114” gắn với thực hiện 02 công trình khoa học phục vụ công tác phòng cháy, chữa cháy và cứu nạn, cứu hộ”: Cục V04- Bộ Công an đã đồng ý chủ trương để CATP đăng ký Đề tài khoa học cấp Thành phố, do đó nội dung này, hiện nay Phòng PC07 đang chủ trì triển khai thực hiện, dự kiến đến ngày 15 tháng 4 năm 2025 hoàn thành nội dung đã đăng ký với Sở Khoa học và Công nghệ để phê duyệt, triển khai thực hiện.</w:t>
            </w:r>
          </w:p>
          <w:p w14:paraId="5E2632D0">
            <w:pPr>
              <w:spacing w:line="240" w:lineRule="auto"/>
              <w:ind w:left="0" w:leftChars="0" w:firstLine="0" w:firstLineChars="0"/>
              <w:jc w:val="both"/>
              <w:rPr>
                <w:sz w:val="26"/>
                <w:szCs w:val="26"/>
              </w:rPr>
            </w:pPr>
            <w:r>
              <w:rPr>
                <w:sz w:val="26"/>
                <w:szCs w:val="26"/>
              </w:rPr>
              <w:t xml:space="preserve">3. Bổ sung 02 nội dung thực hiện: </w:t>
            </w:r>
          </w:p>
          <w:p w14:paraId="7A7837CA">
            <w:pPr>
              <w:spacing w:line="240" w:lineRule="auto"/>
              <w:ind w:left="1" w:hanging="3"/>
              <w:jc w:val="both"/>
              <w:rPr>
                <w:sz w:val="26"/>
                <w:szCs w:val="26"/>
              </w:rPr>
            </w:pPr>
            <w:r>
              <w:rPr>
                <w:sz w:val="26"/>
                <w:szCs w:val="26"/>
              </w:rPr>
              <w:t xml:space="preserve">+  Thực hiện Dự án Ứng dụng (App) cảnh báo </w:t>
            </w:r>
            <w:r>
              <w:rPr>
                <w:spacing w:val="-6"/>
                <w:sz w:val="26"/>
                <w:szCs w:val="26"/>
              </w:rPr>
              <w:t>khẩn cấp về an ninh trật tự trên địa bàn Thành phố</w:t>
            </w:r>
          </w:p>
          <w:p w14:paraId="7101459A">
            <w:pPr>
              <w:spacing w:line="240" w:lineRule="auto"/>
              <w:ind w:left="1" w:hanging="3"/>
              <w:jc w:val="both"/>
              <w:rPr>
                <w:sz w:val="26"/>
                <w:szCs w:val="26"/>
              </w:rPr>
            </w:pPr>
            <w:r>
              <w:rPr>
                <w:sz w:val="26"/>
                <w:szCs w:val="26"/>
              </w:rPr>
              <w:t xml:space="preserve">+  Triển khai hệ thống phần mềm quản lý văn bản và điều hành tác nghiệp của Bộ Công an và triển khai mạng liên thông chuyển - nhận văn bản Ủy ban nhân dân Thành phố đến Công an </w:t>
            </w:r>
            <w:r>
              <w:rPr>
                <w:spacing w:val="-6"/>
                <w:sz w:val="26"/>
                <w:szCs w:val="26"/>
              </w:rPr>
              <w:t>các đơn vị, địa phương thuộc Công an Thành phố.</w:t>
            </w:r>
          </w:p>
        </w:tc>
        <w:tc>
          <w:tcPr>
            <w:tcW w:w="992" w:type="dxa"/>
            <w:gridSpan w:val="2"/>
            <w:vAlign w:val="center"/>
          </w:tcPr>
          <w:p w14:paraId="58D823A6">
            <w:pPr>
              <w:spacing w:line="240" w:lineRule="auto"/>
              <w:ind w:left="1" w:hanging="3"/>
              <w:jc w:val="center"/>
              <w:rPr>
                <w:sz w:val="26"/>
                <w:szCs w:val="26"/>
              </w:rPr>
            </w:pPr>
          </w:p>
        </w:tc>
      </w:tr>
      <w:tr w14:paraId="69703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02D35FC5">
            <w:pPr>
              <w:pStyle w:val="139"/>
              <w:numPr>
                <w:ilvl w:val="0"/>
                <w:numId w:val="1"/>
              </w:numPr>
              <w:spacing w:line="240" w:lineRule="auto"/>
              <w:ind w:leftChars="0" w:firstLineChars="0"/>
              <w:jc w:val="both"/>
              <w:rPr>
                <w:sz w:val="26"/>
                <w:szCs w:val="26"/>
              </w:rPr>
            </w:pPr>
          </w:p>
        </w:tc>
        <w:tc>
          <w:tcPr>
            <w:tcW w:w="1834" w:type="dxa"/>
            <w:vAlign w:val="center"/>
          </w:tcPr>
          <w:p w14:paraId="020DCB55">
            <w:pPr>
              <w:spacing w:line="240" w:lineRule="auto"/>
              <w:ind w:left="1" w:hanging="3"/>
              <w:jc w:val="both"/>
              <w:rPr>
                <w:sz w:val="26"/>
                <w:szCs w:val="26"/>
              </w:rPr>
            </w:pPr>
            <w:r>
              <w:rPr>
                <w:sz w:val="26"/>
                <w:szCs w:val="26"/>
              </w:rPr>
              <w:t>Công trình xây dựng Công viên Hữu nghị Quốc tế Thành phố Hồ Chí Minh</w:t>
            </w:r>
          </w:p>
        </w:tc>
        <w:tc>
          <w:tcPr>
            <w:tcW w:w="2351" w:type="dxa"/>
            <w:vAlign w:val="center"/>
          </w:tcPr>
          <w:p w14:paraId="663E2949">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79C2C933">
            <w:pPr>
              <w:spacing w:line="240" w:lineRule="auto"/>
              <w:ind w:left="1" w:hanging="3"/>
              <w:jc w:val="both"/>
              <w:rPr>
                <w:sz w:val="26"/>
                <w:szCs w:val="26"/>
              </w:rPr>
            </w:pPr>
            <w:r>
              <w:rPr>
                <w:sz w:val="26"/>
                <w:szCs w:val="26"/>
              </w:rPr>
              <w:t>- Đơn vị chủ trì: Sở Ngoại vụ phối hợp với Sở Quy hoạch và Kiến trúc, Sở Xây dựng</w:t>
            </w:r>
          </w:p>
        </w:tc>
        <w:tc>
          <w:tcPr>
            <w:tcW w:w="3178" w:type="dxa"/>
            <w:vAlign w:val="center"/>
          </w:tcPr>
          <w:p w14:paraId="40ADB378">
            <w:pPr>
              <w:spacing w:line="240" w:lineRule="auto"/>
              <w:ind w:left="1" w:hanging="3"/>
              <w:jc w:val="both"/>
              <w:rPr>
                <w:sz w:val="26"/>
                <w:szCs w:val="26"/>
              </w:rPr>
            </w:pPr>
            <w:r>
              <w:rPr>
                <w:sz w:val="26"/>
                <w:szCs w:val="26"/>
              </w:rPr>
              <w:t>Chọn một công viên hiện hữu phù hợp để hình thành một công viên Hữu nghị Quốc tế để đặt tượng danh nhân các nước, các biểu tượng hữu nghị hợp tác quốc tế hoặc trồng cây lưu niệm cho các đoàn Lãnh đạo quốc tế đến Thành phố; Có tác động sâu rộng đến đời sống vật chất, tinh thần cho người dân Thành phố; góp phần tạo thêm điểm đến ý nghĩa cho khách du lịch trong và ngoài nước đến tham quan Thành phố; Công viên Hữu nghị Quốc tế sẽ góp phần thay đổi bộ mặt, vị thế của Thành phố, tạo điểm nhấn, đặc trưng, một nét mới để giúp Thành phố nâng tầm quốc tế.</w:t>
            </w:r>
          </w:p>
        </w:tc>
        <w:tc>
          <w:tcPr>
            <w:tcW w:w="1689" w:type="dxa"/>
            <w:vAlign w:val="center"/>
          </w:tcPr>
          <w:p w14:paraId="62CAEBDE">
            <w:pPr>
              <w:spacing w:line="240" w:lineRule="auto"/>
              <w:ind w:left="1" w:hanging="3"/>
              <w:jc w:val="both"/>
              <w:rPr>
                <w:sz w:val="26"/>
                <w:szCs w:val="26"/>
              </w:rPr>
            </w:pPr>
            <w:r>
              <w:rPr>
                <w:sz w:val="26"/>
                <w:szCs w:val="26"/>
              </w:rPr>
              <w:t>Hoàn thành dịp 30/4/2025</w:t>
            </w:r>
          </w:p>
        </w:tc>
        <w:tc>
          <w:tcPr>
            <w:tcW w:w="4961" w:type="dxa"/>
            <w:vAlign w:val="center"/>
          </w:tcPr>
          <w:p w14:paraId="1DC7855B">
            <w:pPr>
              <w:spacing w:line="240" w:lineRule="auto"/>
              <w:ind w:left="1" w:hanging="3"/>
              <w:jc w:val="both"/>
              <w:rPr>
                <w:sz w:val="26"/>
                <w:szCs w:val="26"/>
              </w:rPr>
            </w:pPr>
            <w:r>
              <w:rPr>
                <w:sz w:val="26"/>
                <w:szCs w:val="26"/>
              </w:rPr>
              <w:t xml:space="preserve">Sở Ngoại vụ đã hoàn thành lấy ý kiến các đơn vị (Sở Xây dựng, Sở Qui hoạch - Kiến trúc, Sở Giao thông vận tải) về thông tin quy hoạch của công viên Lê Văn Tám tại Công văn số 5126/SNV-VHTT ngày 26 tháng 9 năm 2023. </w:t>
            </w:r>
          </w:p>
          <w:p w14:paraId="0A53C882">
            <w:pPr>
              <w:spacing w:line="240" w:lineRule="auto"/>
              <w:ind w:left="1" w:hanging="3"/>
              <w:jc w:val="both"/>
              <w:rPr>
                <w:sz w:val="26"/>
                <w:szCs w:val="26"/>
              </w:rPr>
            </w:pPr>
            <w:r>
              <w:rPr>
                <w:sz w:val="26"/>
                <w:szCs w:val="26"/>
              </w:rPr>
              <w:t>Thực hiện chỉ đạo của Ủy ban nhân dân Thành phố tại Thông báo số 587/TB-VP ngày 17 tháng 6 năm 2024 về kết luận chủ trương hình thành khu vực hữu nghị quốc tế của Thành phố tại công viên Lê Văn Tám, Sở Ngoại vụ tham mưu Ủy ban nhân dân Thành phố dự thảo Tờ trình gửi Ban cán sự đảng Ủy ban nhân dân Thành phố về việc chọn một phần công viên Lê Văn Tám để hình thành Khu vực Hữu nghị Quốc tế tại Công văn số 3938/SNV-VHTT ngày 28 tháng 6 năm 2024.</w:t>
            </w:r>
          </w:p>
        </w:tc>
        <w:tc>
          <w:tcPr>
            <w:tcW w:w="992" w:type="dxa"/>
            <w:gridSpan w:val="2"/>
            <w:vAlign w:val="center"/>
          </w:tcPr>
          <w:p w14:paraId="4B3FCB8A">
            <w:pPr>
              <w:spacing w:line="240" w:lineRule="auto"/>
              <w:ind w:left="1" w:hanging="3"/>
              <w:jc w:val="center"/>
              <w:rPr>
                <w:sz w:val="26"/>
                <w:szCs w:val="26"/>
              </w:rPr>
            </w:pPr>
          </w:p>
        </w:tc>
      </w:tr>
      <w:tr w14:paraId="2F3D40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11C7627F">
            <w:pPr>
              <w:pStyle w:val="139"/>
              <w:numPr>
                <w:ilvl w:val="0"/>
                <w:numId w:val="1"/>
              </w:numPr>
              <w:spacing w:line="240" w:lineRule="auto"/>
              <w:ind w:leftChars="0" w:firstLineChars="0"/>
              <w:jc w:val="both"/>
              <w:rPr>
                <w:sz w:val="26"/>
                <w:szCs w:val="26"/>
              </w:rPr>
            </w:pPr>
          </w:p>
        </w:tc>
        <w:tc>
          <w:tcPr>
            <w:tcW w:w="1834" w:type="dxa"/>
            <w:vAlign w:val="center"/>
          </w:tcPr>
          <w:p w14:paraId="291A5EE8">
            <w:pPr>
              <w:spacing w:line="240" w:lineRule="auto"/>
              <w:ind w:left="1" w:hanging="3"/>
              <w:jc w:val="both"/>
              <w:rPr>
                <w:sz w:val="26"/>
                <w:szCs w:val="26"/>
              </w:rPr>
            </w:pPr>
            <w:r>
              <w:rPr>
                <w:sz w:val="26"/>
                <w:szCs w:val="26"/>
              </w:rPr>
              <w:t>Công trình “Vì Trường Sa xanh” phát động và kêu gọi các cơ quan, tổ chức, đơn vị, doanh nghiệp, tổ chức tôn giáo, cán bộ, chiến sĩ, công chức, viên chức, các tầng lớp Nhân dân Thành phố và đồng bào ta ở nước ngoài cùng đoàn kết, chung sức, tích cực hưởng ứng tham gia chương trình “Vì Trường Sa xanh” thông qua việc ủng hộ kinh phí</w:t>
            </w:r>
          </w:p>
        </w:tc>
        <w:tc>
          <w:tcPr>
            <w:tcW w:w="2351" w:type="dxa"/>
            <w:vAlign w:val="center"/>
          </w:tcPr>
          <w:p w14:paraId="73B7A9AB">
            <w:pPr>
              <w:spacing w:line="240" w:lineRule="auto"/>
              <w:ind w:left="1" w:hanging="3"/>
              <w:jc w:val="both"/>
              <w:rPr>
                <w:sz w:val="26"/>
                <w:szCs w:val="26"/>
              </w:rPr>
            </w:pPr>
            <w:r>
              <w:rPr>
                <w:sz w:val="26"/>
                <w:szCs w:val="26"/>
              </w:rPr>
              <w:t xml:space="preserve">- Thường trực UBND Thành phố phụ trách: </w:t>
            </w:r>
            <w:r>
              <w:rPr>
                <w:spacing w:val="-16"/>
                <w:sz w:val="26"/>
                <w:szCs w:val="26"/>
                <w:lang w:val="nb-NO"/>
              </w:rPr>
              <w:t>Đ/c Dương Ngọc Hải,</w:t>
            </w:r>
            <w:r>
              <w:rPr>
                <w:sz w:val="26"/>
                <w:szCs w:val="26"/>
                <w:lang w:val="nb-NO"/>
              </w:rPr>
              <w:t xml:space="preserve"> Phó Chủ tịch </w:t>
            </w:r>
            <w:r>
              <w:rPr>
                <w:sz w:val="26"/>
                <w:szCs w:val="26"/>
                <w:lang w:val="nb-NO"/>
              </w:rPr>
              <w:br w:type="textWrapping"/>
            </w:r>
            <w:r>
              <w:rPr>
                <w:sz w:val="26"/>
                <w:szCs w:val="26"/>
                <w:lang w:val="nb-NO"/>
              </w:rPr>
              <w:t>Ủy ban nhân dân Thành phố</w:t>
            </w:r>
            <w:r>
              <w:rPr>
                <w:sz w:val="26"/>
                <w:szCs w:val="26"/>
              </w:rPr>
              <w:t xml:space="preserve"> </w:t>
            </w:r>
          </w:p>
          <w:p w14:paraId="67F4F895">
            <w:pPr>
              <w:spacing w:line="240" w:lineRule="auto"/>
              <w:ind w:left="1" w:hanging="3"/>
              <w:jc w:val="both"/>
              <w:rPr>
                <w:sz w:val="26"/>
                <w:szCs w:val="26"/>
              </w:rPr>
            </w:pPr>
            <w:r>
              <w:rPr>
                <w:sz w:val="26"/>
                <w:szCs w:val="26"/>
              </w:rPr>
              <w:t xml:space="preserve">- Đơn vị chủ trì: Ủy ban MTTQ </w:t>
            </w:r>
            <w:r>
              <w:rPr>
                <w:sz w:val="26"/>
                <w:szCs w:val="26"/>
              </w:rPr>
              <w:br w:type="textWrapping"/>
            </w:r>
            <w:r>
              <w:rPr>
                <w:sz w:val="26"/>
                <w:szCs w:val="26"/>
              </w:rPr>
              <w:t>Việt Nam Thành phố</w:t>
            </w:r>
          </w:p>
        </w:tc>
        <w:tc>
          <w:tcPr>
            <w:tcW w:w="3178" w:type="dxa"/>
            <w:vAlign w:val="center"/>
          </w:tcPr>
          <w:p w14:paraId="3BF168E3">
            <w:pPr>
              <w:spacing w:line="240" w:lineRule="auto"/>
              <w:ind w:left="1" w:hanging="3"/>
              <w:jc w:val="both"/>
              <w:rPr>
                <w:sz w:val="26"/>
                <w:szCs w:val="26"/>
              </w:rPr>
            </w:pPr>
            <w:r>
              <w:rPr>
                <w:sz w:val="26"/>
                <w:szCs w:val="26"/>
              </w:rPr>
              <w:t>Vận động kinh phí 76 tỷ đồng để cải tạo thổ nhưỡng, trồng rau xanh, các loại cây, đặc biệt là các loại cây chắn sóng... tăng mật độ che phủ cây xanh trên các đảo, góp phần cải thiện cảnh quan môi trường, không gian xanh, nâng cao đời sống vật chất, tinh thần, động viên cán bộ, chiến sĩ và nhân dân yên tâm sinh sống, công tác, giữ vững chủ quyền biển, đảo.</w:t>
            </w:r>
          </w:p>
        </w:tc>
        <w:tc>
          <w:tcPr>
            <w:tcW w:w="1689" w:type="dxa"/>
            <w:vAlign w:val="center"/>
          </w:tcPr>
          <w:p w14:paraId="37519080">
            <w:pPr>
              <w:spacing w:line="240" w:lineRule="auto"/>
              <w:ind w:left="1" w:hanging="3"/>
              <w:jc w:val="both"/>
              <w:rPr>
                <w:sz w:val="26"/>
                <w:szCs w:val="26"/>
              </w:rPr>
            </w:pPr>
            <w:r>
              <w:rPr>
                <w:sz w:val="26"/>
                <w:szCs w:val="26"/>
              </w:rPr>
              <w:t>Hoàn thành dịp 30/4/2025</w:t>
            </w:r>
          </w:p>
        </w:tc>
        <w:tc>
          <w:tcPr>
            <w:tcW w:w="4961" w:type="dxa"/>
            <w:vAlign w:val="center"/>
          </w:tcPr>
          <w:p w14:paraId="4F2155A4">
            <w:pPr>
              <w:spacing w:line="240" w:lineRule="auto"/>
              <w:ind w:left="1" w:hanging="3"/>
              <w:jc w:val="both"/>
              <w:rPr>
                <w:sz w:val="26"/>
                <w:szCs w:val="26"/>
              </w:rPr>
            </w:pPr>
            <w:r>
              <w:rPr>
                <w:sz w:val="26"/>
                <w:szCs w:val="26"/>
                <w:highlight w:val="white"/>
              </w:rPr>
              <w:t xml:space="preserve">Đến nay, Ban Thường trực Ủy ban Mặt trận Tổ quốc Việt Nam Thành phố đã nhận được sự tham gia ủng hộ, đồng hành của các cơ quan, tổ chức, đơn vị, doanh nghiệp, tổ chức tôn giáo, cán bộ, chiến sĩ, công chức, viên chức, các tầng lớp Nhân dân Thành phố và đồng bào ta ở nước ngoài và đã </w:t>
            </w:r>
            <w:r>
              <w:rPr>
                <w:sz w:val="26"/>
                <w:szCs w:val="26"/>
              </w:rPr>
              <w:t>chuyển số tiền 50 tỷ đồng đến</w:t>
            </w:r>
            <w:r>
              <w:rPr>
                <w:sz w:val="26"/>
                <w:szCs w:val="26"/>
              </w:rPr>
              <w:br w:type="textWrapping"/>
            </w:r>
            <w:r>
              <w:rPr>
                <w:sz w:val="26"/>
                <w:szCs w:val="26"/>
              </w:rPr>
              <w:t xml:space="preserve"> Bộ Tư lệnh Quân chủng Hải quân để thực hiện Chương trình “Vì Trường Sa xanh”</w:t>
            </w:r>
            <w:r>
              <w:rPr>
                <w:sz w:val="26"/>
                <w:szCs w:val="26"/>
                <w:highlight w:val="white"/>
              </w:rPr>
              <w:t xml:space="preserve">. Số tiền 26 tỷ đồng còn lại sẽ được triển khai vận động trong năm 2025, đảm bảo hoàn thành chỉ tiêu đề ra giai đoạn 2023 - 2025 đạt 76 tỷ đồng. </w:t>
            </w:r>
          </w:p>
        </w:tc>
        <w:tc>
          <w:tcPr>
            <w:tcW w:w="992" w:type="dxa"/>
            <w:gridSpan w:val="2"/>
            <w:vAlign w:val="center"/>
          </w:tcPr>
          <w:p w14:paraId="4CDF57EF">
            <w:pPr>
              <w:spacing w:line="240" w:lineRule="auto"/>
              <w:ind w:left="1" w:hanging="3"/>
              <w:jc w:val="center"/>
              <w:rPr>
                <w:sz w:val="26"/>
                <w:szCs w:val="26"/>
              </w:rPr>
            </w:pPr>
          </w:p>
        </w:tc>
      </w:tr>
      <w:tr w14:paraId="74006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shd w:val="clear" w:color="auto" w:fill="auto"/>
            <w:vAlign w:val="center"/>
          </w:tcPr>
          <w:p w14:paraId="5BD1A600">
            <w:pPr>
              <w:pStyle w:val="139"/>
              <w:numPr>
                <w:ilvl w:val="0"/>
                <w:numId w:val="1"/>
              </w:numPr>
              <w:spacing w:line="240" w:lineRule="auto"/>
              <w:ind w:leftChars="0" w:firstLineChars="0"/>
              <w:jc w:val="both"/>
              <w:rPr>
                <w:sz w:val="26"/>
                <w:szCs w:val="26"/>
              </w:rPr>
            </w:pPr>
          </w:p>
        </w:tc>
        <w:tc>
          <w:tcPr>
            <w:tcW w:w="1834" w:type="dxa"/>
            <w:shd w:val="clear" w:color="auto" w:fill="FFFFFF"/>
          </w:tcPr>
          <w:p w14:paraId="14DA2572">
            <w:pPr>
              <w:spacing w:line="240" w:lineRule="auto"/>
              <w:ind w:left="1" w:hanging="3"/>
              <w:jc w:val="both"/>
              <w:rPr>
                <w:sz w:val="26"/>
                <w:szCs w:val="26"/>
              </w:rPr>
            </w:pPr>
            <w:r>
              <w:rPr>
                <w:sz w:val="26"/>
                <w:szCs w:val="26"/>
              </w:rPr>
              <w:t xml:space="preserve">Chương trình Thành phố nghĩa tình </w:t>
            </w:r>
          </w:p>
        </w:tc>
        <w:tc>
          <w:tcPr>
            <w:tcW w:w="2351" w:type="dxa"/>
            <w:shd w:val="clear" w:color="auto" w:fill="FFFFFF"/>
          </w:tcPr>
          <w:p w14:paraId="0FDB38EB">
            <w:pPr>
              <w:spacing w:line="240" w:lineRule="auto"/>
              <w:ind w:left="1" w:hanging="3"/>
              <w:jc w:val="both"/>
              <w:rPr>
                <w:sz w:val="26"/>
                <w:szCs w:val="26"/>
              </w:rPr>
            </w:pPr>
            <w:r>
              <w:rPr>
                <w:sz w:val="26"/>
                <w:szCs w:val="26"/>
              </w:rPr>
              <w:t>- Thường trực UBND Thành phố phụ trách: Đ/c Võ Văn Hoan, Phó Chủ tịch Ủy ban nhân dân Thành phố</w:t>
            </w:r>
          </w:p>
          <w:p w14:paraId="6823532E">
            <w:pPr>
              <w:spacing w:line="240" w:lineRule="auto"/>
              <w:ind w:left="1" w:hanging="3"/>
              <w:jc w:val="both"/>
              <w:rPr>
                <w:sz w:val="26"/>
                <w:szCs w:val="26"/>
              </w:rPr>
            </w:pPr>
            <w:r>
              <w:rPr>
                <w:sz w:val="26"/>
                <w:szCs w:val="26"/>
              </w:rPr>
              <w:t>- Đơn vị chủ trì: Sở Tài chính phối hợp các đơn vị liên quan</w:t>
            </w:r>
          </w:p>
        </w:tc>
        <w:tc>
          <w:tcPr>
            <w:tcW w:w="3178" w:type="dxa"/>
            <w:shd w:val="clear" w:color="auto" w:fill="FFFFFF"/>
          </w:tcPr>
          <w:p w14:paraId="2E3AF450">
            <w:pPr>
              <w:spacing w:line="240" w:lineRule="auto"/>
              <w:ind w:left="1" w:hanging="3"/>
              <w:jc w:val="both"/>
              <w:rPr>
                <w:sz w:val="26"/>
                <w:szCs w:val="26"/>
              </w:rPr>
            </w:pPr>
            <w:r>
              <w:rPr>
                <w:sz w:val="26"/>
                <w:szCs w:val="26"/>
              </w:rPr>
              <w:t xml:space="preserve">1.  Hỗ trợ các địa phương (Điện Biên: công trình điện, Tuyên Quang: trường học, Quảng Trị: nhà tình nghĩa, Trà Vinh: y tế); </w:t>
            </w:r>
          </w:p>
          <w:p w14:paraId="26BB6A6B">
            <w:pPr>
              <w:spacing w:line="240" w:lineRule="auto"/>
              <w:ind w:left="1" w:hanging="3"/>
              <w:jc w:val="both"/>
              <w:rPr>
                <w:sz w:val="26"/>
                <w:szCs w:val="26"/>
              </w:rPr>
            </w:pPr>
            <w:r>
              <w:rPr>
                <w:sz w:val="26"/>
                <w:szCs w:val="26"/>
              </w:rPr>
              <w:t>2. Hỗ trợ các nước: Cuba, Lào</w:t>
            </w:r>
          </w:p>
        </w:tc>
        <w:tc>
          <w:tcPr>
            <w:tcW w:w="1689" w:type="dxa"/>
            <w:shd w:val="clear" w:color="auto" w:fill="FFFFFF"/>
          </w:tcPr>
          <w:p w14:paraId="7EEE5E0A">
            <w:pPr>
              <w:spacing w:line="240" w:lineRule="auto"/>
              <w:ind w:left="1" w:hanging="3"/>
              <w:jc w:val="both"/>
              <w:rPr>
                <w:sz w:val="26"/>
                <w:szCs w:val="26"/>
              </w:rPr>
            </w:pPr>
            <w:r>
              <w:rPr>
                <w:sz w:val="26"/>
                <w:szCs w:val="26"/>
              </w:rPr>
              <w:t>Hoàn thành dịp 30/4/2025</w:t>
            </w:r>
          </w:p>
        </w:tc>
        <w:tc>
          <w:tcPr>
            <w:tcW w:w="4961" w:type="dxa"/>
          </w:tcPr>
          <w:p w14:paraId="199A974D">
            <w:pPr>
              <w:spacing w:line="240" w:lineRule="auto"/>
              <w:ind w:left="1" w:hanging="3"/>
              <w:jc w:val="both"/>
              <w:rPr>
                <w:sz w:val="26"/>
                <w:szCs w:val="26"/>
              </w:rPr>
            </w:pPr>
            <w:r>
              <w:rPr>
                <w:sz w:val="26"/>
                <w:szCs w:val="26"/>
              </w:rPr>
              <w:t>Hiện nay, Sở Tài chính nhận được phối hợp về công trình điện của Điện Biên và công trình trường học của Tuyên Quang</w:t>
            </w:r>
          </w:p>
        </w:tc>
        <w:tc>
          <w:tcPr>
            <w:tcW w:w="992" w:type="dxa"/>
            <w:gridSpan w:val="2"/>
            <w:vAlign w:val="center"/>
          </w:tcPr>
          <w:p w14:paraId="5AAB2D94">
            <w:pPr>
              <w:spacing w:line="240" w:lineRule="auto"/>
              <w:ind w:left="1" w:hanging="3"/>
              <w:jc w:val="center"/>
              <w:rPr>
                <w:sz w:val="26"/>
                <w:szCs w:val="26"/>
              </w:rPr>
            </w:pPr>
          </w:p>
        </w:tc>
      </w:tr>
      <w:tr w14:paraId="2D98C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vAlign w:val="center"/>
          </w:tcPr>
          <w:p w14:paraId="4D954B55">
            <w:pPr>
              <w:pStyle w:val="139"/>
              <w:numPr>
                <w:ilvl w:val="0"/>
                <w:numId w:val="1"/>
              </w:numPr>
              <w:spacing w:line="240" w:lineRule="auto"/>
              <w:ind w:leftChars="0" w:firstLineChars="0"/>
              <w:jc w:val="both"/>
              <w:rPr>
                <w:sz w:val="26"/>
                <w:szCs w:val="26"/>
              </w:rPr>
            </w:pPr>
          </w:p>
        </w:tc>
        <w:tc>
          <w:tcPr>
            <w:tcW w:w="1834" w:type="dxa"/>
            <w:vAlign w:val="center"/>
          </w:tcPr>
          <w:p w14:paraId="7377E719">
            <w:pPr>
              <w:spacing w:line="240" w:lineRule="auto"/>
              <w:ind w:left="1" w:hanging="3"/>
              <w:jc w:val="both"/>
              <w:rPr>
                <w:sz w:val="26"/>
                <w:szCs w:val="26"/>
              </w:rPr>
            </w:pPr>
            <w:r>
              <w:rPr>
                <w:sz w:val="26"/>
                <w:szCs w:val="26"/>
              </w:rPr>
              <w:t xml:space="preserve">Đề xuất UNESCO công nhận Di tích </w:t>
            </w:r>
            <w:r>
              <w:rPr>
                <w:sz w:val="26"/>
                <w:szCs w:val="26"/>
              </w:rPr>
              <w:br w:type="textWrapping"/>
            </w:r>
            <w:r>
              <w:rPr>
                <w:sz w:val="26"/>
                <w:szCs w:val="26"/>
              </w:rPr>
              <w:t>Địa đạo Củ Chi là Di sản thế giới</w:t>
            </w:r>
          </w:p>
        </w:tc>
        <w:tc>
          <w:tcPr>
            <w:tcW w:w="2351" w:type="dxa"/>
            <w:vAlign w:val="center"/>
          </w:tcPr>
          <w:p w14:paraId="59E9A783">
            <w:pPr>
              <w:spacing w:line="240" w:lineRule="auto"/>
              <w:ind w:left="0" w:leftChars="0" w:firstLine="0" w:firstLineChars="0"/>
              <w:jc w:val="both"/>
              <w:textAlignment w:val="auto"/>
              <w:outlineLvl w:val="9"/>
              <w:rPr>
                <w:position w:val="0"/>
                <w:sz w:val="26"/>
                <w:szCs w:val="26"/>
                <w:lang w:val="nb-NO" w:eastAsia="vi-VN"/>
              </w:rPr>
            </w:pPr>
            <w:r>
              <w:rPr>
                <w:position w:val="0"/>
                <w:sz w:val="26"/>
                <w:szCs w:val="26"/>
                <w:lang w:val="nb-NO" w:eastAsia="vi-VN"/>
              </w:rPr>
              <w:t xml:space="preserve">- Thường trực UBND Thành phố phụ trách: </w:t>
            </w:r>
            <w:r>
              <w:rPr>
                <w:spacing w:val="4"/>
                <w:position w:val="0"/>
                <w:sz w:val="26"/>
                <w:szCs w:val="26"/>
                <w:lang w:val="nb-NO" w:eastAsia="vi-VN"/>
              </w:rPr>
              <w:t xml:space="preserve">Đ/c Trần Thị Diệu Thúy, </w:t>
            </w:r>
            <w:r>
              <w:rPr>
                <w:position w:val="0"/>
                <w:sz w:val="26"/>
                <w:szCs w:val="26"/>
                <w:lang w:val="nb-NO" w:eastAsia="vi-VN"/>
              </w:rPr>
              <w:t>Phó Chủ tịch Ủy ban nhân dân Thành phố</w:t>
            </w:r>
          </w:p>
          <w:p w14:paraId="73CC2920">
            <w:pPr>
              <w:spacing w:line="240" w:lineRule="auto"/>
              <w:ind w:left="1" w:hanging="3"/>
              <w:jc w:val="both"/>
              <w:rPr>
                <w:sz w:val="26"/>
                <w:szCs w:val="26"/>
              </w:rPr>
            </w:pPr>
            <w:r>
              <w:rPr>
                <w:position w:val="0"/>
                <w:sz w:val="26"/>
                <w:szCs w:val="26"/>
                <w:lang w:val="nb-NO" w:eastAsia="vi-VN"/>
              </w:rPr>
              <w:t>- Đơn vị chủ trì:</w:t>
            </w:r>
            <w:r>
              <w:rPr>
                <w:sz w:val="26"/>
                <w:szCs w:val="26"/>
              </w:rPr>
              <w:t xml:space="preserve">Sở Văn hóa - </w:t>
            </w:r>
            <w:r>
              <w:rPr>
                <w:sz w:val="26"/>
                <w:szCs w:val="26"/>
              </w:rPr>
              <w:br w:type="textWrapping"/>
            </w:r>
            <w:r>
              <w:rPr>
                <w:sz w:val="26"/>
                <w:szCs w:val="26"/>
              </w:rPr>
              <w:t>Thể thao</w:t>
            </w:r>
          </w:p>
        </w:tc>
        <w:tc>
          <w:tcPr>
            <w:tcW w:w="3178" w:type="dxa"/>
            <w:vAlign w:val="center"/>
          </w:tcPr>
          <w:p w14:paraId="7A5296F9">
            <w:pPr>
              <w:spacing w:line="240" w:lineRule="auto"/>
              <w:ind w:left="1" w:hanging="3"/>
              <w:jc w:val="both"/>
              <w:rPr>
                <w:sz w:val="26"/>
                <w:szCs w:val="26"/>
              </w:rPr>
            </w:pPr>
            <w:r>
              <w:rPr>
                <w:sz w:val="26"/>
                <w:szCs w:val="26"/>
              </w:rPr>
              <w:t>Việc thực hiện hồ sơ để đề xuất Địa đạo Củ Chi trình UNESCO thực hiện theo 3 bước. Đến nay, hồ sơ di tích lịch sử Địa đạo Củ Chi trình UNESCO ghi vào Danh mục Di sản thế giới đã thực hiện xong lập Báo cáo tóm tắt đề nghị Bộ Văn hóa, Thể thao và Du lịch xin ý kiến thẩm định của Hội đồng Di sản văn hóa quốc gia (Bước 1). Sau khi có ý kiến của các cơ quan có chuyên môn, cơ quan tư vấn của UNESCO (dự kiến sau 1 năm) bắt đầu thực thực hiện “Quy trình Tập trung - Upstream”.</w:t>
            </w:r>
          </w:p>
        </w:tc>
        <w:tc>
          <w:tcPr>
            <w:tcW w:w="1689" w:type="dxa"/>
            <w:vAlign w:val="center"/>
          </w:tcPr>
          <w:p w14:paraId="4D76D374">
            <w:pPr>
              <w:spacing w:line="240" w:lineRule="auto"/>
              <w:ind w:left="1" w:hanging="3"/>
              <w:jc w:val="both"/>
              <w:rPr>
                <w:sz w:val="26"/>
                <w:szCs w:val="26"/>
              </w:rPr>
            </w:pPr>
            <w:r>
              <w:rPr>
                <w:sz w:val="26"/>
                <w:szCs w:val="26"/>
              </w:rPr>
              <w:t>Hoàn thành dịp 30/4/2025</w:t>
            </w:r>
          </w:p>
        </w:tc>
        <w:tc>
          <w:tcPr>
            <w:tcW w:w="4961" w:type="dxa"/>
            <w:vAlign w:val="center"/>
          </w:tcPr>
          <w:p w14:paraId="629AF2DD">
            <w:pPr>
              <w:spacing w:line="240" w:lineRule="auto"/>
              <w:ind w:left="1" w:hanging="3"/>
              <w:jc w:val="both"/>
              <w:rPr>
                <w:sz w:val="26"/>
                <w:szCs w:val="26"/>
              </w:rPr>
            </w:pPr>
            <w:r>
              <w:rPr>
                <w:sz w:val="26"/>
                <w:szCs w:val="26"/>
              </w:rPr>
              <w:t>- Đề xuất điều chỉnh tên</w:t>
            </w:r>
            <w:bookmarkStart w:id="0" w:name="_GoBack"/>
            <w:bookmarkEnd w:id="0"/>
            <w:r>
              <w:rPr>
                <w:sz w:val="26"/>
                <w:szCs w:val="26"/>
              </w:rPr>
              <w:t xml:space="preserve"> “Đề xuất UNESCO công nhận Di tích Địa đạo Củ Chi là Di sản thế giới” thành “Đăng ký di tích Địa đạo Củ Chi vào Danh sách đề cử dự kiến xây dựng hồ sơ di sản thế giới”. Hiện nay, việc đề nghị UNESCO công nhận di tích địa đạo Củ Chi là Di sản thế giới thực hiện theo Hướng dẫn thực hiện Công ước Di sản thế giới 1972 và văn bản góp ý của Bộ Văn hóa, Thể thao và Du lịch. Sau khi hoàn chỉnh Báo cáo tóm tắt, nếu hồ sơ được Thủ tướng Chính phủ thông qua, công việc nghiên cứu xây dựng hồ sơ sẽ triển khai giai đoạn 2, tiến độ từ 3 - 5 năm. </w:t>
            </w:r>
          </w:p>
        </w:tc>
        <w:tc>
          <w:tcPr>
            <w:tcW w:w="992" w:type="dxa"/>
            <w:gridSpan w:val="2"/>
            <w:vAlign w:val="center"/>
          </w:tcPr>
          <w:p w14:paraId="6D63ED70">
            <w:pPr>
              <w:spacing w:line="240" w:lineRule="auto"/>
              <w:ind w:left="1" w:hanging="3"/>
              <w:jc w:val="center"/>
              <w:rPr>
                <w:sz w:val="26"/>
                <w:szCs w:val="26"/>
              </w:rPr>
            </w:pPr>
          </w:p>
        </w:tc>
      </w:tr>
    </w:tbl>
    <w:p w14:paraId="589B2D90">
      <w:pPr>
        <w:tabs>
          <w:tab w:val="center" w:pos="5670"/>
          <w:tab w:val="center" w:pos="6860"/>
        </w:tabs>
        <w:ind w:left="1" w:hanging="3"/>
        <w:jc w:val="center"/>
        <w:rPr>
          <w:sz w:val="26"/>
          <w:szCs w:val="26"/>
        </w:rPr>
      </w:pPr>
    </w:p>
    <w:p w14:paraId="542FD4B6">
      <w:pPr>
        <w:tabs>
          <w:tab w:val="center" w:pos="5670"/>
          <w:tab w:val="center" w:pos="6860"/>
        </w:tabs>
        <w:ind w:left="1" w:hanging="3"/>
        <w:jc w:val="center"/>
        <w:rPr>
          <w:sz w:val="26"/>
          <w:szCs w:val="26"/>
        </w:rPr>
      </w:pPr>
    </w:p>
    <w:p w14:paraId="17024CE7">
      <w:pPr>
        <w:tabs>
          <w:tab w:val="center" w:pos="5670"/>
          <w:tab w:val="center" w:pos="6860"/>
        </w:tabs>
        <w:ind w:left="1" w:hanging="3"/>
        <w:jc w:val="center"/>
        <w:rPr>
          <w:sz w:val="26"/>
          <w:szCs w:val="26"/>
        </w:rPr>
        <w:sectPr>
          <w:headerReference r:id="rId5" w:type="default"/>
          <w:pgSz w:w="16840" w:h="11907" w:orient="landscape"/>
          <w:pgMar w:top="1134" w:right="1134" w:bottom="907" w:left="709" w:header="567" w:footer="57" w:gutter="0"/>
          <w:pgNumType w:start="1"/>
          <w:cols w:space="720" w:num="1"/>
          <w:titlePg/>
        </w:sectPr>
      </w:pPr>
      <w:r>
        <w:rPr>
          <w:sz w:val="26"/>
          <w:szCs w:val="26"/>
        </w:rPr>
        <w:t>--------------------------------</w:t>
      </w:r>
    </w:p>
    <w:p w14:paraId="064193B5">
      <w:pPr>
        <w:tabs>
          <w:tab w:val="center" w:pos="5670"/>
          <w:tab w:val="center" w:pos="6860"/>
        </w:tabs>
        <w:ind w:left="0" w:leftChars="0" w:firstLine="0" w:firstLineChars="0"/>
        <w:rPr>
          <w:sz w:val="26"/>
          <w:szCs w:val="26"/>
        </w:rPr>
      </w:pPr>
    </w:p>
    <w:p w14:paraId="6DECD888">
      <w:pPr>
        <w:ind w:left="0" w:hanging="2"/>
      </w:pPr>
    </w:p>
    <w:sectPr>
      <w:pgSz w:w="11907" w:h="16840"/>
      <w:pgMar w:top="1134" w:right="907" w:bottom="567" w:left="1418" w:header="567" w:footer="57" w:gutter="0"/>
      <w:pgNumType w:start="1"/>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NI-Times">
    <w:panose1 w:val="00000000000000000000"/>
    <w:charset w:val="00"/>
    <w:family w:val="auto"/>
    <w:pitch w:val="default"/>
    <w:sig w:usb0="00000000" w:usb1="00000000" w:usb2="00000000" w:usb3="00000000" w:csb0="00000000" w:csb1="00000000"/>
  </w:font>
  <w:font w:name=".VnTimeH">
    <w:panose1 w:val="020B72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00" w:usb3="00000000" w:csb0="00000000" w:csb1="00000000"/>
  </w:font>
  <w:font w:name="Liberation Mono">
    <w:altName w:val="Courier New"/>
    <w:panose1 w:val="00000000000000000000"/>
    <w:charset w:val="01"/>
    <w:family w:val="modern"/>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Times New Roman Bold">
    <w:altName w:val="Times New Roman"/>
    <w:panose1 w:val="02020803070505020304"/>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left="-2" w:hanging="2"/>
      </w:pPr>
      <w:r>
        <w:separator/>
      </w:r>
    </w:p>
  </w:footnote>
  <w:footnote w:type="continuationSeparator" w:id="1">
    <w:p>
      <w:pPr>
        <w:spacing w:before="0" w:after="0" w:line="240" w:lineRule="auto"/>
        <w:ind w:left="-2"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5CFAF">
    <w:pPr>
      <w:pBdr>
        <w:top w:val="none" w:color="auto" w:sz="0" w:space="0"/>
        <w:left w:val="none" w:color="auto" w:sz="0" w:space="0"/>
        <w:bottom w:val="none" w:color="auto" w:sz="0" w:space="0"/>
        <w:right w:val="none" w:color="auto" w:sz="0" w:space="0"/>
        <w:between w:val="none" w:color="auto" w:sz="0" w:space="0"/>
      </w:pBdr>
      <w:spacing w:line="240" w:lineRule="auto"/>
      <w:ind w:left="0" w:hanging="2"/>
      <w:jc w:val="center"/>
      <w:rPr>
        <w:color w:val="000000"/>
      </w:rPr>
    </w:pP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p>
  <w:p w14:paraId="5F5D655B">
    <w:pPr>
      <w:pBdr>
        <w:top w:val="none" w:color="auto" w:sz="0" w:space="0"/>
        <w:left w:val="none" w:color="auto" w:sz="0" w:space="0"/>
        <w:bottom w:val="none" w:color="auto" w:sz="0" w:space="0"/>
        <w:right w:val="none" w:color="auto" w:sz="0" w:space="0"/>
        <w:between w:val="none" w:color="auto" w:sz="0" w:space="0"/>
      </w:pBdr>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2D76DF"/>
    <w:multiLevelType w:val="multilevel"/>
    <w:tmpl w:val="6B2D76D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61C"/>
    <w:rsid w:val="000F3B74"/>
    <w:rsid w:val="001B6026"/>
    <w:rsid w:val="001D7F5C"/>
    <w:rsid w:val="00353E08"/>
    <w:rsid w:val="00365485"/>
    <w:rsid w:val="004245DD"/>
    <w:rsid w:val="0049361C"/>
    <w:rsid w:val="004D7AFB"/>
    <w:rsid w:val="00721A3F"/>
    <w:rsid w:val="007E0DD6"/>
    <w:rsid w:val="00973CBF"/>
    <w:rsid w:val="00A12301"/>
    <w:rsid w:val="00AB7880"/>
    <w:rsid w:val="00B132FD"/>
    <w:rsid w:val="00BF2723"/>
    <w:rsid w:val="00EA36D0"/>
    <w:rsid w:val="00F534A0"/>
    <w:rsid w:val="10565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qFormat="1" w:uiPriority="99"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1" w:lineRule="atLeast"/>
      <w:ind w:left="-1" w:leftChars="-1" w:hanging="1" w:hangingChars="1"/>
      <w:textAlignment w:val="top"/>
      <w:outlineLvl w:val="0"/>
    </w:pPr>
    <w:rPr>
      <w:rFonts w:ascii="Times New Roman" w:hAnsi="Times New Roman" w:eastAsia="Times New Roman" w:cs="Times New Roman"/>
      <w:kern w:val="0"/>
      <w:position w:val="-1"/>
      <w:sz w:val="24"/>
      <w:szCs w:val="24"/>
      <w:lang w:val="en-US" w:eastAsia="en-US" w:bidi="ar-SA"/>
      <w14:ligatures w14:val="none"/>
    </w:rPr>
  </w:style>
  <w:style w:type="paragraph" w:styleId="2">
    <w:name w:val="heading 1"/>
    <w:basedOn w:val="1"/>
    <w:next w:val="1"/>
    <w:link w:val="32"/>
    <w:qFormat/>
    <w:uiPriority w:val="9"/>
    <w:pPr>
      <w:keepNext/>
      <w:jc w:val="center"/>
    </w:pPr>
    <w:rPr>
      <w:rFonts w:ascii=".VnTime" w:hAnsi=".VnTime"/>
      <w:i/>
      <w:iCs/>
      <w:sz w:val="26"/>
    </w:rPr>
  </w:style>
  <w:style w:type="paragraph" w:styleId="3">
    <w:name w:val="heading 2"/>
    <w:basedOn w:val="1"/>
    <w:next w:val="1"/>
    <w:link w:val="33"/>
    <w:semiHidden/>
    <w:unhideWhenUsed/>
    <w:qFormat/>
    <w:uiPriority w:val="9"/>
    <w:pPr>
      <w:keepNext/>
      <w:jc w:val="center"/>
      <w:outlineLvl w:val="1"/>
    </w:pPr>
    <w:rPr>
      <w:b/>
      <w:bCs/>
      <w:sz w:val="26"/>
      <w:szCs w:val="26"/>
    </w:rPr>
  </w:style>
  <w:style w:type="paragraph" w:styleId="4">
    <w:name w:val="heading 3"/>
    <w:basedOn w:val="1"/>
    <w:next w:val="1"/>
    <w:link w:val="34"/>
    <w:semiHidden/>
    <w:unhideWhenUsed/>
    <w:qFormat/>
    <w:uiPriority w:val="9"/>
    <w:pPr>
      <w:keepNext/>
      <w:keepLines/>
      <w:spacing w:before="280" w:after="80"/>
      <w:outlineLvl w:val="2"/>
    </w:pPr>
    <w:rPr>
      <w:b/>
      <w:sz w:val="28"/>
      <w:szCs w:val="28"/>
    </w:rPr>
  </w:style>
  <w:style w:type="paragraph" w:styleId="5">
    <w:name w:val="heading 4"/>
    <w:basedOn w:val="1"/>
    <w:next w:val="1"/>
    <w:link w:val="35"/>
    <w:semiHidden/>
    <w:unhideWhenUsed/>
    <w:qFormat/>
    <w:uiPriority w:val="9"/>
    <w:pPr>
      <w:keepNext/>
      <w:widowControl w:val="0"/>
      <w:spacing w:before="240" w:after="60"/>
      <w:outlineLvl w:val="3"/>
    </w:pPr>
    <w:rPr>
      <w:rFonts w:ascii="Arial" w:hAnsi="Arial"/>
      <w:b/>
      <w:bCs/>
      <w:color w:val="000000"/>
      <w:sz w:val="28"/>
      <w:szCs w:val="28"/>
      <w:lang w:val="vi-VN" w:eastAsia="vi-VN" w:bidi="vi-VN"/>
    </w:rPr>
  </w:style>
  <w:style w:type="paragraph" w:styleId="6">
    <w:name w:val="heading 5"/>
    <w:basedOn w:val="1"/>
    <w:next w:val="1"/>
    <w:link w:val="36"/>
    <w:semiHidden/>
    <w:unhideWhenUsed/>
    <w:qFormat/>
    <w:uiPriority w:val="9"/>
    <w:pPr>
      <w:keepNext/>
      <w:keepLines/>
      <w:spacing w:before="220" w:after="40"/>
      <w:outlineLvl w:val="4"/>
    </w:pPr>
    <w:rPr>
      <w:b/>
      <w:sz w:val="22"/>
      <w:szCs w:val="22"/>
    </w:rPr>
  </w:style>
  <w:style w:type="paragraph" w:styleId="7">
    <w:name w:val="heading 6"/>
    <w:basedOn w:val="1"/>
    <w:next w:val="1"/>
    <w:link w:val="37"/>
    <w:semiHidden/>
    <w:unhideWhenUsed/>
    <w:qFormat/>
    <w:uiPriority w:val="9"/>
    <w:pPr>
      <w:keepNext/>
      <w:keepLines/>
      <w:spacing w:before="200" w:after="40"/>
      <w:outlineLvl w:val="5"/>
    </w:pPr>
    <w:rPr>
      <w:b/>
      <w:sz w:val="20"/>
      <w:szCs w:val="20"/>
    </w:rPr>
  </w:style>
  <w:style w:type="paragraph" w:styleId="8">
    <w:name w:val="heading 7"/>
    <w:basedOn w:val="1"/>
    <w:next w:val="1"/>
    <w:link w:val="38"/>
    <w:qFormat/>
    <w:uiPriority w:val="0"/>
    <w:pPr>
      <w:keepNext/>
      <w:keepLines/>
      <w:spacing w:before="200"/>
      <w:outlineLvl w:val="6"/>
    </w:pPr>
    <w:rPr>
      <w:rFonts w:ascii="Cambria" w:hAnsi="Cambria"/>
      <w:i/>
      <w:iCs/>
      <w:color w:val="404040"/>
      <w:sz w:val="28"/>
    </w:rPr>
  </w:style>
  <w:style w:type="paragraph" w:styleId="9">
    <w:name w:val="heading 8"/>
    <w:basedOn w:val="1"/>
    <w:next w:val="1"/>
    <w:link w:val="39"/>
    <w:qFormat/>
    <w:uiPriority w:val="0"/>
    <w:pPr>
      <w:keepNext/>
      <w:ind w:left="-851" w:right="-1" w:firstLine="851"/>
      <w:jc w:val="center"/>
      <w:outlineLvl w:val="7"/>
    </w:pPr>
    <w:rPr>
      <w:b/>
      <w:bCs/>
      <w:sz w:val="28"/>
      <w:szCs w:val="28"/>
    </w:rPr>
  </w:style>
  <w:style w:type="paragraph" w:styleId="10">
    <w:name w:val="heading 9"/>
    <w:basedOn w:val="1"/>
    <w:next w:val="1"/>
    <w:link w:val="40"/>
    <w:qFormat/>
    <w:uiPriority w:val="0"/>
    <w:pPr>
      <w:keepNext/>
      <w:ind w:right="-1" w:firstLine="4111"/>
      <w:jc w:val="both"/>
      <w:outlineLvl w:val="8"/>
    </w:pPr>
    <w:rPr>
      <w:i/>
      <w:iCs/>
      <w:sz w:val="28"/>
      <w:szCs w:val="28"/>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48"/>
    <w:uiPriority w:val="0"/>
    <w:rPr>
      <w:rFonts w:ascii="Tahoma" w:hAnsi="Tahoma" w:cs="Tahoma"/>
      <w:sz w:val="16"/>
      <w:szCs w:val="16"/>
    </w:rPr>
  </w:style>
  <w:style w:type="paragraph" w:styleId="14">
    <w:name w:val="Block Text"/>
    <w:basedOn w:val="1"/>
    <w:uiPriority w:val="0"/>
    <w:pPr>
      <w:ind w:left="-284" w:right="-285"/>
      <w:jc w:val="center"/>
    </w:pPr>
    <w:rPr>
      <w:rFonts w:ascii=".VnTimeH" w:hAnsi=".VnTimeH"/>
      <w:b/>
      <w:sz w:val="26"/>
      <w:szCs w:val="20"/>
    </w:rPr>
  </w:style>
  <w:style w:type="paragraph" w:styleId="15">
    <w:name w:val="Body Text"/>
    <w:basedOn w:val="1"/>
    <w:link w:val="42"/>
    <w:uiPriority w:val="0"/>
    <w:pPr>
      <w:jc w:val="center"/>
    </w:pPr>
    <w:rPr>
      <w:rFonts w:ascii=".VnTimeH" w:hAnsi=".VnTimeH"/>
      <w:b/>
      <w:bCs/>
      <w:sz w:val="26"/>
    </w:rPr>
  </w:style>
  <w:style w:type="paragraph" w:styleId="16">
    <w:name w:val="Body Text 2"/>
    <w:basedOn w:val="1"/>
    <w:link w:val="44"/>
    <w:uiPriority w:val="0"/>
    <w:pPr>
      <w:spacing w:after="120" w:line="480" w:lineRule="auto"/>
    </w:pPr>
  </w:style>
  <w:style w:type="paragraph" w:styleId="17">
    <w:name w:val="Body Text 3"/>
    <w:basedOn w:val="1"/>
    <w:link w:val="138"/>
    <w:semiHidden/>
    <w:unhideWhenUsed/>
    <w:qFormat/>
    <w:uiPriority w:val="99"/>
    <w:pPr>
      <w:spacing w:after="120" w:line="240" w:lineRule="auto"/>
      <w:ind w:left="0" w:leftChars="0" w:firstLine="0" w:firstLineChars="0"/>
      <w:textAlignment w:val="auto"/>
      <w:outlineLvl w:val="9"/>
    </w:pPr>
    <w:rPr>
      <w:position w:val="0"/>
      <w:sz w:val="16"/>
      <w:szCs w:val="16"/>
      <w:lang w:val="vi-VN" w:eastAsia="vi-VN"/>
    </w:rPr>
  </w:style>
  <w:style w:type="paragraph" w:styleId="18">
    <w:name w:val="Body Text Indent"/>
    <w:basedOn w:val="1"/>
    <w:link w:val="43"/>
    <w:qFormat/>
    <w:uiPriority w:val="0"/>
    <w:pPr>
      <w:spacing w:after="120"/>
      <w:ind w:left="360"/>
    </w:pPr>
  </w:style>
  <w:style w:type="paragraph" w:styleId="19">
    <w:name w:val="Body Text Indent 2"/>
    <w:basedOn w:val="1"/>
    <w:link w:val="54"/>
    <w:qFormat/>
    <w:uiPriority w:val="0"/>
    <w:pPr>
      <w:spacing w:after="120" w:line="480" w:lineRule="auto"/>
      <w:ind w:left="360"/>
    </w:pPr>
  </w:style>
  <w:style w:type="paragraph" w:styleId="20">
    <w:name w:val="Body Text Indent 3"/>
    <w:basedOn w:val="1"/>
    <w:link w:val="45"/>
    <w:uiPriority w:val="0"/>
    <w:pPr>
      <w:spacing w:before="120" w:line="340" w:lineRule="atLeast"/>
      <w:ind w:firstLine="700"/>
      <w:jc w:val="both"/>
    </w:pPr>
    <w:rPr>
      <w:i/>
      <w:iCs/>
      <w:sz w:val="28"/>
    </w:rPr>
  </w:style>
  <w:style w:type="character" w:styleId="21">
    <w:name w:val="Emphasis"/>
    <w:qFormat/>
    <w:uiPriority w:val="0"/>
    <w:rPr>
      <w:i/>
      <w:iCs/>
      <w:w w:val="100"/>
      <w:position w:val="-1"/>
      <w:vertAlign w:val="baseline"/>
      <w:cs w:val="0"/>
    </w:rPr>
  </w:style>
  <w:style w:type="character" w:styleId="22">
    <w:name w:val="FollowedHyperlink"/>
    <w:qFormat/>
    <w:uiPriority w:val="0"/>
    <w:rPr>
      <w:color w:val="954F72"/>
      <w:w w:val="100"/>
      <w:position w:val="-1"/>
      <w:u w:val="single"/>
      <w:vertAlign w:val="baseline"/>
      <w:cs w:val="0"/>
    </w:rPr>
  </w:style>
  <w:style w:type="paragraph" w:styleId="23">
    <w:name w:val="footer"/>
    <w:basedOn w:val="1"/>
    <w:link w:val="49"/>
    <w:uiPriority w:val="0"/>
    <w:rPr>
      <w:rFonts w:ascii="VNI-Times" w:hAnsi="VNI-Times"/>
      <w:szCs w:val="20"/>
      <w:lang w:val="en-GB"/>
    </w:rPr>
  </w:style>
  <w:style w:type="paragraph" w:styleId="24">
    <w:name w:val="header"/>
    <w:basedOn w:val="1"/>
    <w:link w:val="55"/>
    <w:qFormat/>
    <w:uiPriority w:val="0"/>
  </w:style>
  <w:style w:type="paragraph" w:styleId="25">
    <w:name w:val="HTML Preformatted"/>
    <w:basedOn w:val="1"/>
    <w:link w:val="116"/>
    <w:qFormat/>
    <w:uiPriority w:val="0"/>
    <w:rPr>
      <w:rFonts w:ascii="Courier New" w:hAnsi="Courier New" w:cs="Courier New"/>
      <w:sz w:val="20"/>
      <w:szCs w:val="20"/>
    </w:rPr>
  </w:style>
  <w:style w:type="character" w:styleId="26">
    <w:name w:val="Hyperlink"/>
    <w:qFormat/>
    <w:uiPriority w:val="0"/>
    <w:rPr>
      <w:color w:val="0000FF"/>
      <w:w w:val="100"/>
      <w:position w:val="-1"/>
      <w:u w:val="single"/>
      <w:vertAlign w:val="baseline"/>
      <w:cs w:val="0"/>
    </w:rPr>
  </w:style>
  <w:style w:type="character" w:styleId="27">
    <w:name w:val="page number"/>
    <w:qFormat/>
    <w:uiPriority w:val="0"/>
    <w:rPr>
      <w:w w:val="100"/>
      <w:position w:val="-1"/>
      <w:vertAlign w:val="baseline"/>
      <w:cs w:val="0"/>
    </w:rPr>
  </w:style>
  <w:style w:type="character" w:styleId="28">
    <w:name w:val="Strong"/>
    <w:qFormat/>
    <w:uiPriority w:val="0"/>
    <w:rPr>
      <w:b/>
      <w:bCs/>
      <w:w w:val="100"/>
      <w:position w:val="-1"/>
      <w:vertAlign w:val="baseline"/>
      <w:cs w:val="0"/>
    </w:rPr>
  </w:style>
  <w:style w:type="paragraph" w:styleId="29">
    <w:name w:val="Subtitle"/>
    <w:basedOn w:val="1"/>
    <w:next w:val="1"/>
    <w:link w:val="135"/>
    <w:qFormat/>
    <w:uiPriority w:val="11"/>
    <w:pPr>
      <w:keepNext/>
      <w:keepLines/>
      <w:spacing w:before="360" w:after="80"/>
    </w:pPr>
    <w:rPr>
      <w:rFonts w:ascii="Georgia" w:hAnsi="Georgia" w:eastAsia="Georgia" w:cs="Georgia"/>
      <w:i/>
      <w:color w:val="666666"/>
      <w:sz w:val="48"/>
      <w:szCs w:val="48"/>
    </w:rPr>
  </w:style>
  <w:style w:type="table" w:styleId="30">
    <w:name w:val="Table Grid"/>
    <w:basedOn w:val="12"/>
    <w:uiPriority w:val="0"/>
    <w:pPr>
      <w:spacing w:after="0" w:line="1" w:lineRule="atLeast"/>
      <w:ind w:left="-1" w:leftChars="-1" w:hanging="1" w:hangingChars="1"/>
      <w:textAlignment w:val="top"/>
      <w:outlineLvl w:val="0"/>
    </w:pPr>
    <w:rPr>
      <w:rFonts w:ascii="Times New Roman" w:hAnsi="Times New Roman" w:eastAsia="Times New Roman" w:cs="Times New Roman"/>
      <w:kern w:val="0"/>
      <w:position w:val="-1"/>
      <w:sz w:val="28"/>
      <w:szCs w:val="24"/>
      <w:lang w:val="nb-NO"/>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1">
    <w:name w:val="Title"/>
    <w:basedOn w:val="1"/>
    <w:next w:val="1"/>
    <w:link w:val="41"/>
    <w:qFormat/>
    <w:uiPriority w:val="10"/>
    <w:pPr>
      <w:jc w:val="center"/>
    </w:pPr>
    <w:rPr>
      <w:rFonts w:ascii="VNI-Times" w:hAnsi="VNI-Times" w:eastAsia="SimSun"/>
      <w:sz w:val="28"/>
      <w:szCs w:val="20"/>
    </w:rPr>
  </w:style>
  <w:style w:type="character" w:customStyle="1" w:styleId="32">
    <w:name w:val="Heading 1 Char"/>
    <w:basedOn w:val="11"/>
    <w:link w:val="2"/>
    <w:qFormat/>
    <w:uiPriority w:val="9"/>
    <w:rPr>
      <w:rFonts w:ascii=".VnTime" w:hAnsi=".VnTime" w:eastAsia="Times New Roman" w:cs="Times New Roman"/>
      <w:i/>
      <w:iCs/>
      <w:kern w:val="0"/>
      <w:position w:val="-1"/>
      <w:sz w:val="26"/>
      <w:szCs w:val="24"/>
      <w14:ligatures w14:val="none"/>
    </w:rPr>
  </w:style>
  <w:style w:type="character" w:customStyle="1" w:styleId="33">
    <w:name w:val="Heading 2 Char"/>
    <w:basedOn w:val="11"/>
    <w:link w:val="3"/>
    <w:semiHidden/>
    <w:uiPriority w:val="9"/>
    <w:rPr>
      <w:rFonts w:ascii="Times New Roman" w:hAnsi="Times New Roman" w:eastAsia="Times New Roman" w:cs="Times New Roman"/>
      <w:b/>
      <w:bCs/>
      <w:kern w:val="0"/>
      <w:position w:val="-1"/>
      <w:sz w:val="26"/>
      <w:szCs w:val="26"/>
      <w14:ligatures w14:val="none"/>
    </w:rPr>
  </w:style>
  <w:style w:type="character" w:customStyle="1" w:styleId="34">
    <w:name w:val="Heading 3 Char"/>
    <w:basedOn w:val="11"/>
    <w:link w:val="4"/>
    <w:semiHidden/>
    <w:uiPriority w:val="9"/>
    <w:rPr>
      <w:rFonts w:ascii="Times New Roman" w:hAnsi="Times New Roman" w:eastAsia="Times New Roman" w:cs="Times New Roman"/>
      <w:b/>
      <w:kern w:val="0"/>
      <w:position w:val="-1"/>
      <w:sz w:val="28"/>
      <w:szCs w:val="28"/>
      <w14:ligatures w14:val="none"/>
    </w:rPr>
  </w:style>
  <w:style w:type="character" w:customStyle="1" w:styleId="35">
    <w:name w:val="Heading 4 Char"/>
    <w:basedOn w:val="11"/>
    <w:link w:val="5"/>
    <w:semiHidden/>
    <w:uiPriority w:val="9"/>
    <w:rPr>
      <w:rFonts w:ascii="Arial" w:hAnsi="Arial" w:eastAsia="Times New Roman" w:cs="Times New Roman"/>
      <w:b/>
      <w:bCs/>
      <w:color w:val="000000"/>
      <w:kern w:val="0"/>
      <w:position w:val="-1"/>
      <w:sz w:val="28"/>
      <w:szCs w:val="28"/>
      <w:lang w:val="vi-VN" w:eastAsia="vi-VN" w:bidi="vi-VN"/>
      <w14:ligatures w14:val="none"/>
    </w:rPr>
  </w:style>
  <w:style w:type="character" w:customStyle="1" w:styleId="36">
    <w:name w:val="Heading 5 Char"/>
    <w:basedOn w:val="11"/>
    <w:link w:val="6"/>
    <w:semiHidden/>
    <w:uiPriority w:val="9"/>
    <w:rPr>
      <w:rFonts w:ascii="Times New Roman" w:hAnsi="Times New Roman" w:eastAsia="Times New Roman" w:cs="Times New Roman"/>
      <w:b/>
      <w:kern w:val="0"/>
      <w:position w:val="-1"/>
      <w14:ligatures w14:val="none"/>
    </w:rPr>
  </w:style>
  <w:style w:type="character" w:customStyle="1" w:styleId="37">
    <w:name w:val="Heading 6 Char"/>
    <w:basedOn w:val="11"/>
    <w:link w:val="7"/>
    <w:semiHidden/>
    <w:uiPriority w:val="9"/>
    <w:rPr>
      <w:rFonts w:ascii="Times New Roman" w:hAnsi="Times New Roman" w:eastAsia="Times New Roman" w:cs="Times New Roman"/>
      <w:b/>
      <w:kern w:val="0"/>
      <w:position w:val="-1"/>
      <w:sz w:val="20"/>
      <w:szCs w:val="20"/>
      <w14:ligatures w14:val="none"/>
    </w:rPr>
  </w:style>
  <w:style w:type="character" w:customStyle="1" w:styleId="38">
    <w:name w:val="Heading 7 Char"/>
    <w:basedOn w:val="11"/>
    <w:link w:val="8"/>
    <w:uiPriority w:val="0"/>
    <w:rPr>
      <w:rFonts w:ascii="Cambria" w:hAnsi="Cambria" w:eastAsia="Times New Roman" w:cs="Times New Roman"/>
      <w:i/>
      <w:iCs/>
      <w:color w:val="404040"/>
      <w:kern w:val="0"/>
      <w:position w:val="-1"/>
      <w:sz w:val="28"/>
      <w:szCs w:val="24"/>
      <w14:ligatures w14:val="none"/>
    </w:rPr>
  </w:style>
  <w:style w:type="character" w:customStyle="1" w:styleId="39">
    <w:name w:val="Heading 8 Char"/>
    <w:basedOn w:val="11"/>
    <w:link w:val="9"/>
    <w:qFormat/>
    <w:uiPriority w:val="0"/>
    <w:rPr>
      <w:rFonts w:ascii="Times New Roman" w:hAnsi="Times New Roman" w:eastAsia="Times New Roman" w:cs="Times New Roman"/>
      <w:b/>
      <w:bCs/>
      <w:kern w:val="0"/>
      <w:position w:val="-1"/>
      <w:sz w:val="28"/>
      <w:szCs w:val="28"/>
      <w14:ligatures w14:val="none"/>
    </w:rPr>
  </w:style>
  <w:style w:type="character" w:customStyle="1" w:styleId="40">
    <w:name w:val="Heading 9 Char"/>
    <w:basedOn w:val="11"/>
    <w:link w:val="10"/>
    <w:qFormat/>
    <w:uiPriority w:val="0"/>
    <w:rPr>
      <w:rFonts w:ascii="Times New Roman" w:hAnsi="Times New Roman" w:eastAsia="Times New Roman" w:cs="Times New Roman"/>
      <w:i/>
      <w:iCs/>
      <w:kern w:val="0"/>
      <w:position w:val="-1"/>
      <w:sz w:val="28"/>
      <w:szCs w:val="28"/>
      <w14:ligatures w14:val="none"/>
    </w:rPr>
  </w:style>
  <w:style w:type="character" w:customStyle="1" w:styleId="41">
    <w:name w:val="Title Char"/>
    <w:basedOn w:val="11"/>
    <w:link w:val="31"/>
    <w:uiPriority w:val="10"/>
    <w:rPr>
      <w:rFonts w:ascii="VNI-Times" w:hAnsi="VNI-Times" w:eastAsia="SimSun" w:cs="Times New Roman"/>
      <w:kern w:val="0"/>
      <w:position w:val="-1"/>
      <w:sz w:val="28"/>
      <w:szCs w:val="20"/>
      <w14:ligatures w14:val="none"/>
    </w:rPr>
  </w:style>
  <w:style w:type="character" w:customStyle="1" w:styleId="42">
    <w:name w:val="Body Text Char"/>
    <w:basedOn w:val="11"/>
    <w:link w:val="15"/>
    <w:uiPriority w:val="0"/>
    <w:rPr>
      <w:rFonts w:ascii=".VnTimeH" w:hAnsi=".VnTimeH" w:eastAsia="Times New Roman" w:cs="Times New Roman"/>
      <w:b/>
      <w:bCs/>
      <w:kern w:val="0"/>
      <w:position w:val="-1"/>
      <w:sz w:val="26"/>
      <w:szCs w:val="24"/>
      <w14:ligatures w14:val="none"/>
    </w:rPr>
  </w:style>
  <w:style w:type="character" w:customStyle="1" w:styleId="43">
    <w:name w:val="Body Text Indent Char"/>
    <w:basedOn w:val="11"/>
    <w:link w:val="18"/>
    <w:uiPriority w:val="0"/>
    <w:rPr>
      <w:rFonts w:ascii="Times New Roman" w:hAnsi="Times New Roman" w:eastAsia="Times New Roman" w:cs="Times New Roman"/>
      <w:kern w:val="0"/>
      <w:position w:val="-1"/>
      <w:sz w:val="24"/>
      <w:szCs w:val="24"/>
      <w14:ligatures w14:val="none"/>
    </w:rPr>
  </w:style>
  <w:style w:type="character" w:customStyle="1" w:styleId="44">
    <w:name w:val="Body Text 2 Char"/>
    <w:basedOn w:val="11"/>
    <w:link w:val="16"/>
    <w:uiPriority w:val="0"/>
    <w:rPr>
      <w:rFonts w:ascii="Times New Roman" w:hAnsi="Times New Roman" w:eastAsia="Times New Roman" w:cs="Times New Roman"/>
      <w:kern w:val="0"/>
      <w:position w:val="-1"/>
      <w:sz w:val="24"/>
      <w:szCs w:val="24"/>
      <w14:ligatures w14:val="none"/>
    </w:rPr>
  </w:style>
  <w:style w:type="character" w:customStyle="1" w:styleId="45">
    <w:name w:val="Body Text Indent 3 Char"/>
    <w:basedOn w:val="11"/>
    <w:link w:val="20"/>
    <w:uiPriority w:val="0"/>
    <w:rPr>
      <w:rFonts w:ascii="Times New Roman" w:hAnsi="Times New Roman" w:eastAsia="Times New Roman" w:cs="Times New Roman"/>
      <w:i/>
      <w:iCs/>
      <w:kern w:val="0"/>
      <w:position w:val="-1"/>
      <w:sz w:val="28"/>
      <w:szCs w:val="24"/>
      <w14:ligatures w14:val="none"/>
    </w:rPr>
  </w:style>
  <w:style w:type="paragraph" w:customStyle="1" w:styleId="46">
    <w:name w:val="List Paragraph1"/>
    <w:basedOn w:val="1"/>
    <w:uiPriority w:val="0"/>
    <w:pPr>
      <w:ind w:left="720"/>
      <w:contextualSpacing/>
    </w:pPr>
  </w:style>
  <w:style w:type="character" w:customStyle="1" w:styleId="47">
    <w:name w:val="List Paragraph Char"/>
    <w:uiPriority w:val="0"/>
    <w:rPr>
      <w:rFonts w:ascii="Times New Roman" w:hAnsi="Times New Roman" w:eastAsia="Times New Roman" w:cs="Times New Roman"/>
      <w:w w:val="100"/>
      <w:position w:val="-1"/>
      <w:sz w:val="24"/>
      <w:szCs w:val="24"/>
      <w:vertAlign w:val="baseline"/>
      <w:cs w:val="0"/>
    </w:rPr>
  </w:style>
  <w:style w:type="character" w:customStyle="1" w:styleId="48">
    <w:name w:val="Balloon Text Char"/>
    <w:basedOn w:val="11"/>
    <w:link w:val="13"/>
    <w:uiPriority w:val="0"/>
    <w:rPr>
      <w:rFonts w:ascii="Tahoma" w:hAnsi="Tahoma" w:eastAsia="Times New Roman" w:cs="Tahoma"/>
      <w:kern w:val="0"/>
      <w:position w:val="-1"/>
      <w:sz w:val="16"/>
      <w:szCs w:val="16"/>
      <w14:ligatures w14:val="none"/>
    </w:rPr>
  </w:style>
  <w:style w:type="character" w:customStyle="1" w:styleId="49">
    <w:name w:val="Footer Char"/>
    <w:basedOn w:val="11"/>
    <w:link w:val="23"/>
    <w:uiPriority w:val="0"/>
    <w:rPr>
      <w:rFonts w:ascii="VNI-Times" w:hAnsi="VNI-Times" w:eastAsia="Times New Roman" w:cs="Times New Roman"/>
      <w:kern w:val="0"/>
      <w:position w:val="-1"/>
      <w:sz w:val="24"/>
      <w:szCs w:val="20"/>
      <w:lang w:val="en-GB"/>
      <w14:ligatures w14:val="none"/>
    </w:rPr>
  </w:style>
  <w:style w:type="paragraph" w:customStyle="1" w:styleId="50">
    <w:name w:val="Normal (Web)1"/>
    <w:basedOn w:val="1"/>
    <w:uiPriority w:val="0"/>
    <w:pPr>
      <w:spacing w:before="100" w:beforeAutospacing="1" w:after="100" w:afterAutospacing="1"/>
    </w:pPr>
  </w:style>
  <w:style w:type="paragraph" w:styleId="51">
    <w:name w:val="No Spacing"/>
    <w:uiPriority w:val="0"/>
    <w:pPr>
      <w:spacing w:after="0" w:line="1" w:lineRule="atLeast"/>
      <w:ind w:left="-1" w:leftChars="-1" w:hanging="1" w:hangingChars="1"/>
      <w:textAlignment w:val="top"/>
      <w:outlineLvl w:val="0"/>
    </w:pPr>
    <w:rPr>
      <w:rFonts w:ascii="Times New Roman" w:hAnsi="Times New Roman" w:eastAsia="Times New Roman" w:cs="Times New Roman"/>
      <w:kern w:val="0"/>
      <w:position w:val="-1"/>
      <w:sz w:val="24"/>
      <w:szCs w:val="24"/>
      <w:lang w:val="en-US" w:eastAsia="en-US" w:bidi="ar-SA"/>
      <w14:ligatures w14:val="none"/>
    </w:rPr>
  </w:style>
  <w:style w:type="character" w:customStyle="1" w:styleId="52">
    <w:name w:val="No Spacing Char"/>
    <w:uiPriority w:val="0"/>
    <w:rPr>
      <w:rFonts w:ascii="Times New Roman" w:hAnsi="Times New Roman" w:eastAsia="Times New Roman" w:cs="Times New Roman"/>
      <w:w w:val="100"/>
      <w:position w:val="-1"/>
      <w:sz w:val="24"/>
      <w:szCs w:val="24"/>
      <w:vertAlign w:val="baseline"/>
      <w:cs w:val="0"/>
    </w:rPr>
  </w:style>
  <w:style w:type="paragraph" w:customStyle="1" w:styleId="53">
    <w:name w:val="Style1"/>
    <w:basedOn w:val="1"/>
    <w:uiPriority w:val="0"/>
    <w:rPr>
      <w:rFonts w:ascii="VNI-Times" w:hAnsi="VNI-Times" w:eastAsia="Arial" w:cs="Arial"/>
    </w:rPr>
  </w:style>
  <w:style w:type="character" w:customStyle="1" w:styleId="54">
    <w:name w:val="Body Text Indent 2 Char"/>
    <w:basedOn w:val="11"/>
    <w:link w:val="19"/>
    <w:uiPriority w:val="0"/>
    <w:rPr>
      <w:rFonts w:ascii="Times New Roman" w:hAnsi="Times New Roman" w:eastAsia="Times New Roman" w:cs="Times New Roman"/>
      <w:kern w:val="0"/>
      <w:position w:val="-1"/>
      <w:sz w:val="24"/>
      <w:szCs w:val="24"/>
      <w14:ligatures w14:val="none"/>
    </w:rPr>
  </w:style>
  <w:style w:type="character" w:customStyle="1" w:styleId="55">
    <w:name w:val="Header Char"/>
    <w:basedOn w:val="11"/>
    <w:link w:val="24"/>
    <w:uiPriority w:val="0"/>
    <w:rPr>
      <w:rFonts w:ascii="Times New Roman" w:hAnsi="Times New Roman" w:eastAsia="Times New Roman" w:cs="Times New Roman"/>
      <w:kern w:val="0"/>
      <w:position w:val="-1"/>
      <w:sz w:val="24"/>
      <w:szCs w:val="24"/>
      <w14:ligatures w14:val="none"/>
    </w:rPr>
  </w:style>
  <w:style w:type="paragraph" w:customStyle="1" w:styleId="56">
    <w:name w:val="yiv1440029055msonormal"/>
    <w:basedOn w:val="1"/>
    <w:uiPriority w:val="0"/>
    <w:pPr>
      <w:spacing w:before="100" w:beforeAutospacing="1" w:after="100" w:afterAutospacing="1"/>
    </w:pPr>
  </w:style>
  <w:style w:type="paragraph" w:customStyle="1" w:styleId="57">
    <w:name w:val="than"/>
    <w:basedOn w:val="1"/>
    <w:uiPriority w:val="0"/>
    <w:pPr>
      <w:spacing w:before="100" w:beforeAutospacing="1" w:after="100" w:afterAutospacing="1"/>
    </w:pPr>
  </w:style>
  <w:style w:type="character" w:customStyle="1" w:styleId="58">
    <w:name w:val="text1"/>
    <w:qFormat/>
    <w:uiPriority w:val="0"/>
    <w:rPr>
      <w:rFonts w:hint="default" w:ascii="Arial" w:hAnsi="Arial" w:cs="Arial"/>
      <w:color w:val="070707"/>
      <w:w w:val="100"/>
      <w:position w:val="-1"/>
      <w:sz w:val="20"/>
      <w:szCs w:val="20"/>
      <w:u w:val="none"/>
      <w:vertAlign w:val="baseline"/>
      <w:cs w:val="0"/>
    </w:rPr>
  </w:style>
  <w:style w:type="character" w:customStyle="1" w:styleId="59">
    <w:name w:val="a_content"/>
    <w:uiPriority w:val="0"/>
    <w:rPr>
      <w:w w:val="100"/>
      <w:position w:val="-1"/>
      <w:vertAlign w:val="baseline"/>
      <w:cs w:val="0"/>
    </w:rPr>
  </w:style>
  <w:style w:type="character" w:customStyle="1" w:styleId="60">
    <w:name w:val="Van b?n n?i dung_"/>
    <w:uiPriority w:val="0"/>
    <w:rPr>
      <w:w w:val="100"/>
      <w:position w:val="-1"/>
      <w:sz w:val="26"/>
      <w:szCs w:val="26"/>
      <w:shd w:val="clear" w:color="auto" w:fill="FFFFFF"/>
      <w:vertAlign w:val="baseline"/>
      <w:cs w:val="0"/>
    </w:rPr>
  </w:style>
  <w:style w:type="paragraph" w:customStyle="1" w:styleId="61">
    <w:name w:val="Van b?n n?i dung1"/>
    <w:basedOn w:val="1"/>
    <w:uiPriority w:val="0"/>
    <w:pPr>
      <w:widowControl w:val="0"/>
      <w:shd w:val="clear" w:color="auto" w:fill="FFFFFF"/>
      <w:spacing w:before="600" w:after="60" w:line="240" w:lineRule="atLeast"/>
      <w:jc w:val="center"/>
    </w:pPr>
    <w:rPr>
      <w:rFonts w:ascii="Calibri" w:hAnsi="Calibri" w:eastAsia="Calibri"/>
      <w:sz w:val="26"/>
      <w:szCs w:val="26"/>
    </w:rPr>
  </w:style>
  <w:style w:type="character" w:customStyle="1" w:styleId="62">
    <w:name w:val="Van b?n n?i dung"/>
    <w:uiPriority w:val="0"/>
    <w:rPr>
      <w:w w:val="100"/>
      <w:position w:val="-1"/>
      <w:vertAlign w:val="baseline"/>
      <w:cs w:val="0"/>
    </w:rPr>
  </w:style>
  <w:style w:type="character" w:customStyle="1" w:styleId="63">
    <w:name w:val="indexstorytext1"/>
    <w:uiPriority w:val="0"/>
    <w:rPr>
      <w:b/>
      <w:bCs/>
      <w:w w:val="100"/>
      <w:position w:val="-1"/>
      <w:vertAlign w:val="baseline"/>
      <w:cs w:val="0"/>
    </w:rPr>
  </w:style>
  <w:style w:type="paragraph" w:customStyle="1" w:styleId="64">
    <w:name w:val="body-text"/>
    <w:basedOn w:val="1"/>
    <w:uiPriority w:val="0"/>
    <w:pPr>
      <w:spacing w:before="100" w:beforeAutospacing="1" w:after="100" w:afterAutospacing="1"/>
    </w:pPr>
  </w:style>
  <w:style w:type="character" w:customStyle="1" w:styleId="65">
    <w:name w:val="Văn bản nội dung_"/>
    <w:uiPriority w:val="0"/>
    <w:rPr>
      <w:w w:val="100"/>
      <w:position w:val="-1"/>
      <w:sz w:val="17"/>
      <w:szCs w:val="17"/>
      <w:shd w:val="clear" w:color="auto" w:fill="FFFFFF"/>
      <w:vertAlign w:val="baseline"/>
      <w:cs w:val="0"/>
    </w:rPr>
  </w:style>
  <w:style w:type="paragraph" w:customStyle="1" w:styleId="66">
    <w:name w:val="Văn bản nội dung"/>
    <w:basedOn w:val="1"/>
    <w:qFormat/>
    <w:uiPriority w:val="0"/>
    <w:pPr>
      <w:widowControl w:val="0"/>
      <w:shd w:val="clear" w:color="auto" w:fill="FFFFFF"/>
      <w:spacing w:line="257" w:lineRule="auto"/>
      <w:ind w:firstLine="40"/>
      <w:jc w:val="both"/>
    </w:pPr>
    <w:rPr>
      <w:rFonts w:ascii="Calibri" w:hAnsi="Calibri" w:eastAsia="Calibri"/>
      <w:sz w:val="17"/>
      <w:szCs w:val="17"/>
    </w:rPr>
  </w:style>
  <w:style w:type="character" w:customStyle="1" w:styleId="67">
    <w:name w:val="Char Char2"/>
    <w:uiPriority w:val="0"/>
    <w:rPr>
      <w:w w:val="100"/>
      <w:position w:val="-1"/>
      <w:vertAlign w:val="baseline"/>
      <w:cs w:val="0"/>
      <w:lang w:val="en-US" w:eastAsia="en-US" w:bidi="ar-SA"/>
    </w:rPr>
  </w:style>
  <w:style w:type="paragraph" w:customStyle="1" w:styleId="68">
    <w:name w:val="Footnote Text1"/>
    <w:basedOn w:val="1"/>
    <w:uiPriority w:val="0"/>
    <w:rPr>
      <w:rFonts w:ascii="Arial" w:hAnsi="Arial" w:eastAsia="Arial"/>
      <w:sz w:val="20"/>
      <w:szCs w:val="20"/>
      <w:lang w:val="vi-VN"/>
    </w:rPr>
  </w:style>
  <w:style w:type="character" w:customStyle="1" w:styleId="69">
    <w:name w:val="Footnote Text Char"/>
    <w:uiPriority w:val="0"/>
    <w:rPr>
      <w:rFonts w:ascii="Arial" w:hAnsi="Arial" w:eastAsia="Arial" w:cs="Times New Roman"/>
      <w:w w:val="100"/>
      <w:position w:val="-1"/>
      <w:sz w:val="20"/>
      <w:szCs w:val="20"/>
      <w:vertAlign w:val="baseline"/>
      <w:cs w:val="0"/>
      <w:lang w:val="vi-VN"/>
    </w:rPr>
  </w:style>
  <w:style w:type="character" w:customStyle="1" w:styleId="70">
    <w:name w:val="thanbai"/>
    <w:uiPriority w:val="0"/>
    <w:rPr>
      <w:w w:val="100"/>
      <w:position w:val="-1"/>
      <w:vertAlign w:val="baseline"/>
      <w:cs w:val="0"/>
    </w:rPr>
  </w:style>
  <w:style w:type="character" w:customStyle="1" w:styleId="71">
    <w:name w:val="normal__char1"/>
    <w:uiPriority w:val="0"/>
    <w:rPr>
      <w:rFonts w:hint="default" w:ascii="Times New Roman" w:hAnsi="Times New Roman" w:cs="Times New Roman"/>
      <w:w w:val="100"/>
      <w:position w:val="-1"/>
      <w:sz w:val="24"/>
      <w:szCs w:val="24"/>
      <w:u w:val="none"/>
      <w:vertAlign w:val="baseline"/>
      <w:cs w:val="0"/>
    </w:rPr>
  </w:style>
  <w:style w:type="paragraph" w:customStyle="1" w:styleId="72">
    <w:name w:val="Default"/>
    <w:qFormat/>
    <w:uiPriority w:val="0"/>
    <w:pPr>
      <w:autoSpaceDE w:val="0"/>
      <w:autoSpaceDN w:val="0"/>
      <w:adjustRightInd w:val="0"/>
      <w:spacing w:after="0" w:line="1" w:lineRule="atLeast"/>
      <w:ind w:left="-1" w:leftChars="-1" w:hanging="1" w:hangingChars="1"/>
      <w:textAlignment w:val="top"/>
      <w:outlineLvl w:val="0"/>
    </w:pPr>
    <w:rPr>
      <w:rFonts w:ascii="Times New Roman" w:hAnsi="Times New Roman" w:eastAsia="Times New Roman" w:cs="Times New Roman"/>
      <w:color w:val="000000"/>
      <w:kern w:val="0"/>
      <w:position w:val="-1"/>
      <w:sz w:val="24"/>
      <w:szCs w:val="24"/>
      <w:lang w:val="en-US" w:eastAsia="en-US" w:bidi="ar-SA"/>
      <w14:ligatures w14:val="none"/>
    </w:rPr>
  </w:style>
  <w:style w:type="character" w:customStyle="1" w:styleId="73">
    <w:name w:val="fontstyle01"/>
    <w:qFormat/>
    <w:uiPriority w:val="0"/>
    <w:rPr>
      <w:rFonts w:ascii="TimesNewRomanPSMT" w:hAnsi="TimesNewRomanPSMT" w:eastAsia="TimesNewRomanPSMT" w:cs="TimesNewRomanPSMT"/>
      <w:color w:val="000000"/>
      <w:w w:val="100"/>
      <w:position w:val="-1"/>
      <w:sz w:val="28"/>
      <w:szCs w:val="28"/>
      <w:vertAlign w:val="baseline"/>
      <w:cs w:val="0"/>
    </w:rPr>
  </w:style>
  <w:style w:type="character" w:customStyle="1" w:styleId="74">
    <w:name w:val="Body text (2)"/>
    <w:qFormat/>
    <w:uiPriority w:val="0"/>
    <w:rPr>
      <w:rFonts w:hint="default" w:ascii="Times New Roman" w:hAnsi="Times New Roman" w:eastAsia="Times New Roman" w:cs="Times New Roman"/>
      <w:color w:val="000000"/>
      <w:spacing w:val="0"/>
      <w:w w:val="100"/>
      <w:position w:val="0"/>
      <w:sz w:val="26"/>
      <w:szCs w:val="26"/>
      <w:u w:val="none"/>
      <w:vertAlign w:val="baseline"/>
      <w:cs w:val="0"/>
      <w:lang w:val="vi-VN" w:eastAsia="vi-VN" w:bidi="vi-VN"/>
    </w:rPr>
  </w:style>
  <w:style w:type="character" w:customStyle="1" w:styleId="75">
    <w:name w:val="Body text (2) Exact"/>
    <w:qFormat/>
    <w:uiPriority w:val="0"/>
    <w:rPr>
      <w:rFonts w:hint="default" w:ascii="Times New Roman" w:hAnsi="Times New Roman" w:eastAsia="Times New Roman" w:cs="Times New Roman"/>
      <w:w w:val="100"/>
      <w:position w:val="-1"/>
      <w:sz w:val="26"/>
      <w:szCs w:val="26"/>
      <w:u w:val="none"/>
      <w:vertAlign w:val="baseline"/>
      <w:cs w:val="0"/>
    </w:rPr>
  </w:style>
  <w:style w:type="paragraph" w:customStyle="1" w:styleId="76">
    <w:name w:val="normal-p"/>
    <w:basedOn w:val="1"/>
    <w:qFormat/>
    <w:uiPriority w:val="0"/>
    <w:rPr>
      <w:sz w:val="20"/>
      <w:szCs w:val="20"/>
    </w:rPr>
  </w:style>
  <w:style w:type="paragraph" w:customStyle="1" w:styleId="77">
    <w:name w:val="Normal +14pt"/>
    <w:basedOn w:val="1"/>
    <w:qFormat/>
    <w:uiPriority w:val="0"/>
    <w:pPr>
      <w:spacing w:before="120" w:after="120"/>
    </w:pPr>
    <w:rPr>
      <w:b/>
      <w:sz w:val="26"/>
      <w:szCs w:val="26"/>
      <w:u w:val="single"/>
    </w:rPr>
  </w:style>
  <w:style w:type="character" w:customStyle="1" w:styleId="78">
    <w:name w:val="tojvnm2t"/>
    <w:qFormat/>
    <w:uiPriority w:val="0"/>
    <w:rPr>
      <w:w w:val="100"/>
      <w:position w:val="-1"/>
      <w:vertAlign w:val="baseline"/>
      <w:cs w:val="0"/>
    </w:rPr>
  </w:style>
  <w:style w:type="character" w:customStyle="1" w:styleId="79">
    <w:name w:val="Body text_"/>
    <w:qFormat/>
    <w:uiPriority w:val="0"/>
    <w:rPr>
      <w:w w:val="100"/>
      <w:position w:val="-1"/>
      <w:sz w:val="23"/>
      <w:szCs w:val="23"/>
      <w:shd w:val="clear" w:color="auto" w:fill="FFFFFF"/>
      <w:vertAlign w:val="baseline"/>
      <w:cs w:val="0"/>
    </w:rPr>
  </w:style>
  <w:style w:type="paragraph" w:customStyle="1" w:styleId="80">
    <w:name w:val="Body Text2"/>
    <w:basedOn w:val="1"/>
    <w:qFormat/>
    <w:uiPriority w:val="0"/>
    <w:pPr>
      <w:widowControl w:val="0"/>
      <w:shd w:val="clear" w:color="auto" w:fill="FFFFFF"/>
      <w:spacing w:line="456" w:lineRule="atLeast"/>
      <w:jc w:val="both"/>
    </w:pPr>
    <w:rPr>
      <w:rFonts w:ascii="Calibri" w:hAnsi="Calibri" w:eastAsia="Calibri"/>
      <w:sz w:val="23"/>
      <w:szCs w:val="23"/>
    </w:rPr>
  </w:style>
  <w:style w:type="character" w:customStyle="1" w:styleId="81">
    <w:name w:val="Body Text1"/>
    <w:qFormat/>
    <w:uiPriority w:val="0"/>
    <w:rPr>
      <w:rFonts w:ascii="Times New Roman" w:hAnsi="Times New Roman" w:eastAsia="Times New Roman" w:cs="Times New Roman"/>
      <w:color w:val="000000"/>
      <w:spacing w:val="0"/>
      <w:w w:val="100"/>
      <w:position w:val="0"/>
      <w:sz w:val="23"/>
      <w:szCs w:val="23"/>
      <w:u w:val="none"/>
      <w:vertAlign w:val="baseline"/>
      <w:cs w:val="0"/>
      <w:lang w:val="vi-VN"/>
    </w:rPr>
  </w:style>
  <w:style w:type="character" w:customStyle="1" w:styleId="82">
    <w:name w:val="text"/>
    <w:qFormat/>
    <w:uiPriority w:val="0"/>
    <w:rPr>
      <w:w w:val="100"/>
      <w:position w:val="-1"/>
      <w:vertAlign w:val="baseline"/>
      <w:cs w:val="0"/>
    </w:rPr>
  </w:style>
  <w:style w:type="character" w:customStyle="1" w:styleId="83">
    <w:name w:val="Body text (2)_"/>
    <w:qFormat/>
    <w:uiPriority w:val="0"/>
    <w:rPr>
      <w:w w:val="100"/>
      <w:position w:val="-1"/>
      <w:sz w:val="26"/>
      <w:szCs w:val="26"/>
      <w:shd w:val="clear" w:color="auto" w:fill="FFFFFF"/>
      <w:vertAlign w:val="baseline"/>
      <w:cs w:val="0"/>
    </w:rPr>
  </w:style>
  <w:style w:type="paragraph" w:customStyle="1" w:styleId="84">
    <w:name w:val="Body text (2)1"/>
    <w:basedOn w:val="1"/>
    <w:qFormat/>
    <w:uiPriority w:val="0"/>
    <w:pPr>
      <w:widowControl w:val="0"/>
      <w:shd w:val="clear" w:color="auto" w:fill="FFFFFF"/>
      <w:spacing w:before="720" w:after="60" w:line="320" w:lineRule="atLeast"/>
      <w:ind w:hanging="200"/>
      <w:jc w:val="both"/>
    </w:pPr>
    <w:rPr>
      <w:rFonts w:ascii="Calibri" w:hAnsi="Calibri" w:eastAsia="Calibri"/>
      <w:sz w:val="26"/>
      <w:szCs w:val="26"/>
    </w:rPr>
  </w:style>
  <w:style w:type="character" w:customStyle="1" w:styleId="85">
    <w:name w:val="text_exposed_show"/>
    <w:qFormat/>
    <w:uiPriority w:val="0"/>
    <w:rPr>
      <w:w w:val="100"/>
      <w:position w:val="-1"/>
      <w:vertAlign w:val="baseline"/>
      <w:cs w:val="0"/>
    </w:rPr>
  </w:style>
  <w:style w:type="character" w:customStyle="1" w:styleId="86">
    <w:name w:val="Footnote Text2"/>
    <w:qFormat/>
    <w:uiPriority w:val="0"/>
    <w:rPr>
      <w:w w:val="100"/>
      <w:position w:val="-1"/>
      <w:vertAlign w:val="superscript"/>
      <w:cs w:val="0"/>
    </w:rPr>
  </w:style>
  <w:style w:type="paragraph" w:customStyle="1" w:styleId="87">
    <w:name w:val="Ref Char"/>
    <w:basedOn w:val="1"/>
    <w:qFormat/>
    <w:uiPriority w:val="0"/>
    <w:pPr>
      <w:spacing w:after="160" w:line="240" w:lineRule="atLeast"/>
    </w:pPr>
    <w:rPr>
      <w:rFonts w:ascii="Calibri" w:hAnsi="Calibri" w:eastAsia="Calibri"/>
      <w:sz w:val="22"/>
      <w:szCs w:val="22"/>
      <w:vertAlign w:val="superscript"/>
    </w:rPr>
  </w:style>
  <w:style w:type="paragraph" w:customStyle="1" w:styleId="88">
    <w:name w:val="Char"/>
    <w:qFormat/>
    <w:uiPriority w:val="0"/>
    <w:pPr>
      <w:spacing w:before="120" w:after="120" w:line="1" w:lineRule="atLeast"/>
      <w:ind w:left="-1" w:leftChars="-1" w:hanging="1" w:hangingChars="1"/>
      <w:jc w:val="both"/>
      <w:textAlignment w:val="top"/>
      <w:outlineLvl w:val="0"/>
    </w:pPr>
    <w:rPr>
      <w:rFonts w:ascii="Times New Roman" w:hAnsi="Times New Roman" w:eastAsia="Times New Roman" w:cs="Times New Roman"/>
      <w:kern w:val="0"/>
      <w:position w:val="-1"/>
      <w:sz w:val="28"/>
      <w:szCs w:val="28"/>
      <w:lang w:val="en-US" w:eastAsia="en-US" w:bidi="ar-SA"/>
      <w14:ligatures w14:val="none"/>
    </w:rPr>
  </w:style>
  <w:style w:type="paragraph" w:customStyle="1" w:styleId="89">
    <w:name w:val="Default Paragraph Font Para Char Char Char Char Char"/>
    <w:qFormat/>
    <w:uiPriority w:val="0"/>
    <w:pPr>
      <w:tabs>
        <w:tab w:val="left" w:pos="1152"/>
      </w:tabs>
      <w:spacing w:before="120" w:after="120" w:line="312" w:lineRule="auto"/>
      <w:ind w:left="-1" w:leftChars="-1" w:hanging="1" w:hangingChars="1"/>
      <w:textAlignment w:val="top"/>
      <w:outlineLvl w:val="0"/>
    </w:pPr>
    <w:rPr>
      <w:rFonts w:ascii="Arial" w:hAnsi="Arial" w:eastAsia="Times New Roman" w:cs="Arial"/>
      <w:kern w:val="0"/>
      <w:position w:val="-1"/>
      <w:sz w:val="26"/>
      <w:szCs w:val="26"/>
      <w:lang w:val="en-US" w:eastAsia="en-US" w:bidi="ar-SA"/>
      <w14:ligatures w14:val="none"/>
    </w:rPr>
  </w:style>
  <w:style w:type="paragraph" w:customStyle="1" w:styleId="90">
    <w:name w:val="font5"/>
    <w:basedOn w:val="1"/>
    <w:qFormat/>
    <w:uiPriority w:val="0"/>
    <w:pPr>
      <w:spacing w:before="100" w:beforeAutospacing="1" w:after="100" w:afterAutospacing="1"/>
    </w:pPr>
    <w:rPr>
      <w:sz w:val="28"/>
      <w:szCs w:val="28"/>
    </w:rPr>
  </w:style>
  <w:style w:type="paragraph" w:customStyle="1" w:styleId="91">
    <w:name w:val="font6"/>
    <w:basedOn w:val="1"/>
    <w:qFormat/>
    <w:uiPriority w:val="0"/>
    <w:pPr>
      <w:spacing w:before="100" w:beforeAutospacing="1" w:after="100" w:afterAutospacing="1"/>
    </w:pPr>
    <w:rPr>
      <w:b/>
      <w:bCs/>
      <w:sz w:val="28"/>
      <w:szCs w:val="28"/>
    </w:rPr>
  </w:style>
  <w:style w:type="paragraph" w:customStyle="1" w:styleId="92">
    <w:name w:val="xl83"/>
    <w:basedOn w:val="1"/>
    <w:qFormat/>
    <w:uiPriority w:val="0"/>
    <w:pPr>
      <w:spacing w:before="100" w:beforeAutospacing="1" w:after="100" w:afterAutospacing="1"/>
      <w:jc w:val="center"/>
      <w:textAlignment w:val="center"/>
    </w:pPr>
    <w:rPr>
      <w:b/>
      <w:bCs/>
      <w:sz w:val="28"/>
      <w:szCs w:val="28"/>
    </w:rPr>
  </w:style>
  <w:style w:type="paragraph" w:customStyle="1" w:styleId="93">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8"/>
      <w:szCs w:val="28"/>
    </w:rPr>
  </w:style>
  <w:style w:type="paragraph" w:customStyle="1" w:styleId="94">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95">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96">
    <w:name w:val="xl87"/>
    <w:basedOn w:val="1"/>
    <w:qFormat/>
    <w:uiPriority w:val="0"/>
    <w:pPr>
      <w:spacing w:before="100" w:beforeAutospacing="1" w:after="100" w:afterAutospacing="1"/>
      <w:jc w:val="center"/>
      <w:textAlignment w:val="center"/>
    </w:pPr>
    <w:rPr>
      <w:sz w:val="28"/>
      <w:szCs w:val="28"/>
    </w:rPr>
  </w:style>
  <w:style w:type="paragraph" w:customStyle="1" w:styleId="97">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98">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99">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8"/>
      <w:szCs w:val="28"/>
    </w:rPr>
  </w:style>
  <w:style w:type="paragraph" w:customStyle="1" w:styleId="100">
    <w:name w:val="xl91"/>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sz w:val="28"/>
      <w:szCs w:val="28"/>
    </w:rPr>
  </w:style>
  <w:style w:type="paragraph" w:customStyle="1" w:styleId="101">
    <w:name w:val="xl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102">
    <w:name w:val="xl9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b/>
      <w:bCs/>
      <w:sz w:val="28"/>
      <w:szCs w:val="28"/>
    </w:rPr>
  </w:style>
  <w:style w:type="paragraph" w:customStyle="1" w:styleId="103">
    <w:name w:val="xl94"/>
    <w:basedOn w:val="1"/>
    <w:qFormat/>
    <w:uiPriority w:val="0"/>
    <w:pPr>
      <w:spacing w:before="100" w:beforeAutospacing="1" w:after="100" w:afterAutospacing="1"/>
      <w:textAlignment w:val="center"/>
    </w:pPr>
    <w:rPr>
      <w:sz w:val="28"/>
      <w:szCs w:val="28"/>
    </w:rPr>
  </w:style>
  <w:style w:type="paragraph" w:customStyle="1" w:styleId="10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style>
  <w:style w:type="paragraph" w:customStyle="1" w:styleId="10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style>
  <w:style w:type="paragraph" w:customStyle="1" w:styleId="106">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107">
    <w:name w:val="xl98"/>
    <w:basedOn w:val="1"/>
    <w:qFormat/>
    <w:uiPriority w:val="0"/>
    <w:pPr>
      <w:pBdr>
        <w:top w:val="single" w:color="auto" w:sz="4" w:space="0"/>
        <w:left w:val="single" w:color="auto" w:sz="4" w:space="0"/>
        <w:right w:val="single" w:color="auto" w:sz="4" w:space="0"/>
      </w:pBdr>
      <w:spacing w:before="100" w:beforeAutospacing="1" w:after="100" w:afterAutospacing="1"/>
      <w:textAlignment w:val="center"/>
    </w:pPr>
    <w:rPr>
      <w:b/>
      <w:bCs/>
      <w:sz w:val="28"/>
      <w:szCs w:val="28"/>
    </w:rPr>
  </w:style>
  <w:style w:type="paragraph" w:customStyle="1" w:styleId="108">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style>
  <w:style w:type="paragraph" w:customStyle="1" w:styleId="109">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110">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8"/>
      <w:szCs w:val="28"/>
    </w:rPr>
  </w:style>
  <w:style w:type="paragraph" w:customStyle="1" w:styleId="111">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sz w:val="28"/>
      <w:szCs w:val="28"/>
    </w:rPr>
  </w:style>
  <w:style w:type="paragraph" w:customStyle="1" w:styleId="112">
    <w:name w:val="font7"/>
    <w:basedOn w:val="1"/>
    <w:qFormat/>
    <w:uiPriority w:val="0"/>
    <w:pPr>
      <w:spacing w:before="100" w:beforeAutospacing="1" w:after="100" w:afterAutospacing="1"/>
    </w:pPr>
    <w:rPr>
      <w:sz w:val="28"/>
      <w:szCs w:val="28"/>
    </w:rPr>
  </w:style>
  <w:style w:type="paragraph" w:customStyle="1" w:styleId="113">
    <w:name w:val="font8"/>
    <w:basedOn w:val="1"/>
    <w:qFormat/>
    <w:uiPriority w:val="0"/>
    <w:pPr>
      <w:spacing w:before="100" w:beforeAutospacing="1" w:after="100" w:afterAutospacing="1"/>
    </w:pPr>
    <w:rPr>
      <w:b/>
      <w:bCs/>
      <w:sz w:val="28"/>
      <w:szCs w:val="28"/>
    </w:rPr>
  </w:style>
  <w:style w:type="character" w:customStyle="1" w:styleId="114">
    <w:name w:val="normal__char"/>
    <w:qFormat/>
    <w:uiPriority w:val="0"/>
    <w:rPr>
      <w:w w:val="100"/>
      <w:position w:val="-1"/>
      <w:vertAlign w:val="baseline"/>
      <w:cs w:val="0"/>
    </w:rPr>
  </w:style>
  <w:style w:type="paragraph" w:customStyle="1" w:styleId="115">
    <w:name w:val="Table Paragraph"/>
    <w:basedOn w:val="1"/>
    <w:qFormat/>
    <w:uiPriority w:val="0"/>
    <w:pPr>
      <w:widowControl w:val="0"/>
      <w:autoSpaceDE w:val="0"/>
      <w:autoSpaceDN w:val="0"/>
    </w:pPr>
    <w:rPr>
      <w:sz w:val="22"/>
      <w:szCs w:val="22"/>
    </w:rPr>
  </w:style>
  <w:style w:type="character" w:customStyle="1" w:styleId="116">
    <w:name w:val="HTML Preformatted Char"/>
    <w:basedOn w:val="11"/>
    <w:link w:val="25"/>
    <w:qFormat/>
    <w:uiPriority w:val="0"/>
    <w:rPr>
      <w:rFonts w:ascii="Courier New" w:hAnsi="Courier New" w:eastAsia="Times New Roman" w:cs="Courier New"/>
      <w:kern w:val="0"/>
      <w:position w:val="-1"/>
      <w:sz w:val="20"/>
      <w:szCs w:val="20"/>
      <w14:ligatures w14:val="none"/>
    </w:rPr>
  </w:style>
  <w:style w:type="paragraph" w:customStyle="1" w:styleId="117">
    <w:name w:val="x_p1"/>
    <w:basedOn w:val="1"/>
    <w:qFormat/>
    <w:uiPriority w:val="0"/>
    <w:pPr>
      <w:spacing w:before="100" w:beforeAutospacing="1" w:after="100" w:afterAutospacing="1"/>
    </w:pPr>
    <w:rPr>
      <w:lang w:val="vi-VN" w:eastAsia="vi-VN"/>
    </w:rPr>
  </w:style>
  <w:style w:type="paragraph" w:customStyle="1" w:styleId="118">
    <w:name w:val="Preformatted Text"/>
    <w:basedOn w:val="1"/>
    <w:qFormat/>
    <w:uiPriority w:val="0"/>
    <w:pPr>
      <w:widowControl w:val="0"/>
      <w:suppressAutoHyphens/>
    </w:pPr>
    <w:rPr>
      <w:rFonts w:ascii="Liberation Mono" w:hAnsi="Liberation Mono" w:eastAsia="Liberation Mono" w:cs="Liberation Mono"/>
      <w:sz w:val="20"/>
      <w:szCs w:val="20"/>
      <w:lang w:eastAsia="zh-CN" w:bidi="hi-IN"/>
    </w:rPr>
  </w:style>
  <w:style w:type="paragraph" w:customStyle="1" w:styleId="119">
    <w:name w:val="Table Contents"/>
    <w:basedOn w:val="1"/>
    <w:qFormat/>
    <w:uiPriority w:val="0"/>
    <w:pPr>
      <w:suppressLineNumbers/>
      <w:suppressAutoHyphens/>
    </w:pPr>
    <w:rPr>
      <w:rFonts w:ascii=".VnTime" w:hAnsi=".VnTime"/>
      <w:sz w:val="26"/>
      <w:szCs w:val="20"/>
      <w:lang w:eastAsia="ar-SA"/>
    </w:rPr>
  </w:style>
  <w:style w:type="character" w:customStyle="1" w:styleId="120">
    <w:name w:val="Body text (6)_"/>
    <w:qFormat/>
    <w:uiPriority w:val="0"/>
    <w:rPr>
      <w:i/>
      <w:iCs/>
      <w:w w:val="100"/>
      <w:position w:val="-1"/>
      <w:sz w:val="26"/>
      <w:szCs w:val="26"/>
      <w:shd w:val="clear" w:color="auto" w:fill="FFFFFF"/>
      <w:vertAlign w:val="baseline"/>
      <w:cs w:val="0"/>
    </w:rPr>
  </w:style>
  <w:style w:type="paragraph" w:customStyle="1" w:styleId="121">
    <w:name w:val="Body text (6)"/>
    <w:basedOn w:val="1"/>
    <w:qFormat/>
    <w:uiPriority w:val="0"/>
    <w:pPr>
      <w:widowControl w:val="0"/>
      <w:shd w:val="clear" w:color="auto" w:fill="FFFFFF"/>
      <w:spacing w:before="60" w:after="180" w:line="0" w:lineRule="atLeast"/>
      <w:jc w:val="both"/>
    </w:pPr>
    <w:rPr>
      <w:rFonts w:ascii="Calibri" w:hAnsi="Calibri" w:eastAsia="Calibri"/>
      <w:i/>
      <w:iCs/>
      <w:sz w:val="26"/>
      <w:szCs w:val="26"/>
    </w:rPr>
  </w:style>
  <w:style w:type="character" w:customStyle="1" w:styleId="122">
    <w:name w:val="Title Char1"/>
    <w:qFormat/>
    <w:uiPriority w:val="0"/>
    <w:rPr>
      <w:rFonts w:ascii="Cambria" w:hAnsi="Cambria" w:eastAsia="Times New Roman" w:cs="Times New Roman"/>
      <w:color w:val="17365D"/>
      <w:spacing w:val="5"/>
      <w:w w:val="100"/>
      <w:kern w:val="28"/>
      <w:position w:val="-1"/>
      <w:sz w:val="52"/>
      <w:szCs w:val="52"/>
      <w:vertAlign w:val="baseline"/>
      <w:cs w:val="0"/>
    </w:rPr>
  </w:style>
  <w:style w:type="character" w:customStyle="1" w:styleId="123">
    <w:name w:val="Footnote Text Char1"/>
    <w:qFormat/>
    <w:uiPriority w:val="0"/>
    <w:rPr>
      <w:rFonts w:ascii="Calibri" w:hAnsi="Calibri" w:eastAsia="Calibri" w:cs="Times New Roman"/>
      <w:w w:val="100"/>
      <w:position w:val="-1"/>
      <w:sz w:val="20"/>
      <w:szCs w:val="20"/>
      <w:vertAlign w:val="baseline"/>
      <w:cs w:val="0"/>
    </w:rPr>
  </w:style>
  <w:style w:type="character" w:customStyle="1" w:styleId="124">
    <w:name w:val="Body Text Indent 2 Char1"/>
    <w:qFormat/>
    <w:uiPriority w:val="0"/>
    <w:rPr>
      <w:rFonts w:ascii="Calibri" w:hAnsi="Calibri" w:eastAsia="Calibri" w:cs="Times New Roman"/>
      <w:w w:val="100"/>
      <w:position w:val="-1"/>
      <w:vertAlign w:val="baseline"/>
      <w:cs w:val="0"/>
    </w:rPr>
  </w:style>
  <w:style w:type="character" w:customStyle="1" w:styleId="125">
    <w:name w:val="Header Char1"/>
    <w:qFormat/>
    <w:uiPriority w:val="0"/>
    <w:rPr>
      <w:rFonts w:ascii="Calibri" w:hAnsi="Calibri" w:eastAsia="Calibri" w:cs="Times New Roman"/>
      <w:w w:val="100"/>
      <w:position w:val="-1"/>
      <w:vertAlign w:val="baseline"/>
      <w:cs w:val="0"/>
    </w:rPr>
  </w:style>
  <w:style w:type="character" w:customStyle="1" w:styleId="126">
    <w:name w:val="Footer Char1"/>
    <w:qFormat/>
    <w:uiPriority w:val="0"/>
    <w:rPr>
      <w:rFonts w:ascii="Calibri" w:hAnsi="Calibri" w:eastAsia="Calibri" w:cs="Times New Roman"/>
      <w:w w:val="100"/>
      <w:position w:val="-1"/>
      <w:vertAlign w:val="baseline"/>
      <w:cs w:val="0"/>
    </w:rPr>
  </w:style>
  <w:style w:type="character" w:customStyle="1" w:styleId="127">
    <w:name w:val="Balloon Text Char1"/>
    <w:qFormat/>
    <w:uiPriority w:val="0"/>
    <w:rPr>
      <w:rFonts w:ascii="Tahoma" w:hAnsi="Tahoma" w:eastAsia="Calibri" w:cs="Tahoma"/>
      <w:w w:val="100"/>
      <w:position w:val="-1"/>
      <w:sz w:val="16"/>
      <w:szCs w:val="16"/>
      <w:vertAlign w:val="baseline"/>
      <w:cs w:val="0"/>
    </w:rPr>
  </w:style>
  <w:style w:type="character" w:customStyle="1" w:styleId="128">
    <w:name w:val="Body Text Indent Char1"/>
    <w:qFormat/>
    <w:uiPriority w:val="0"/>
    <w:rPr>
      <w:rFonts w:ascii="Calibri" w:hAnsi="Calibri" w:eastAsia="Calibri" w:cs="Times New Roman"/>
      <w:w w:val="100"/>
      <w:position w:val="-1"/>
      <w:vertAlign w:val="baseline"/>
      <w:cs w:val="0"/>
    </w:rPr>
  </w:style>
  <w:style w:type="character" w:customStyle="1" w:styleId="129">
    <w:name w:val="Body Text Indent 3 Char1"/>
    <w:qFormat/>
    <w:uiPriority w:val="0"/>
    <w:rPr>
      <w:rFonts w:ascii="Calibri" w:hAnsi="Calibri" w:eastAsia="Calibri" w:cs="Times New Roman"/>
      <w:w w:val="100"/>
      <w:position w:val="-1"/>
      <w:sz w:val="16"/>
      <w:szCs w:val="16"/>
      <w:vertAlign w:val="baseline"/>
      <w:cs w:val="0"/>
    </w:rPr>
  </w:style>
  <w:style w:type="character" w:customStyle="1" w:styleId="130">
    <w:name w:val="news_content"/>
    <w:qFormat/>
    <w:uiPriority w:val="0"/>
    <w:rPr>
      <w:w w:val="100"/>
      <w:position w:val="-1"/>
      <w:vertAlign w:val="baseline"/>
      <w:cs w:val="0"/>
    </w:rPr>
  </w:style>
  <w:style w:type="paragraph" w:customStyle="1" w:styleId="131">
    <w:name w:val="Char Char Char Char Char1 Char Char Char1 Char Char Char Char Char Char Char Char Char Char Char Char3 Char Char Char Char"/>
    <w:basedOn w:val="1"/>
    <w:qFormat/>
    <w:uiPriority w:val="0"/>
    <w:pPr>
      <w:pageBreakBefore/>
      <w:spacing w:before="100" w:beforeAutospacing="1" w:after="100" w:afterAutospacing="1"/>
    </w:pPr>
    <w:rPr>
      <w:rFonts w:ascii="Tahoma" w:hAnsi="Tahoma" w:eastAsia="Calibri"/>
      <w:sz w:val="20"/>
      <w:szCs w:val="20"/>
    </w:rPr>
  </w:style>
  <w:style w:type="character" w:customStyle="1" w:styleId="132">
    <w:name w:val="apple-style-span"/>
    <w:qFormat/>
    <w:uiPriority w:val="0"/>
    <w:rPr>
      <w:w w:val="100"/>
      <w:position w:val="-1"/>
      <w:vertAlign w:val="baseline"/>
      <w:cs w:val="0"/>
    </w:rPr>
  </w:style>
  <w:style w:type="character" w:customStyle="1" w:styleId="133">
    <w:name w:val="Other_"/>
    <w:qFormat/>
    <w:uiPriority w:val="0"/>
    <w:rPr>
      <w:w w:val="100"/>
      <w:position w:val="-1"/>
      <w:shd w:val="clear" w:color="auto" w:fill="FFFFFF"/>
      <w:vertAlign w:val="baseline"/>
      <w:cs w:val="0"/>
    </w:rPr>
  </w:style>
  <w:style w:type="paragraph" w:customStyle="1" w:styleId="134">
    <w:name w:val="Other"/>
    <w:basedOn w:val="1"/>
    <w:qFormat/>
    <w:uiPriority w:val="0"/>
    <w:pPr>
      <w:widowControl w:val="0"/>
      <w:shd w:val="clear" w:color="auto" w:fill="FFFFFF"/>
      <w:spacing w:line="259" w:lineRule="auto"/>
    </w:pPr>
    <w:rPr>
      <w:rFonts w:ascii="Calibri" w:hAnsi="Calibri"/>
      <w:sz w:val="20"/>
      <w:szCs w:val="20"/>
    </w:rPr>
  </w:style>
  <w:style w:type="character" w:customStyle="1" w:styleId="135">
    <w:name w:val="Subtitle Char"/>
    <w:basedOn w:val="11"/>
    <w:link w:val="29"/>
    <w:qFormat/>
    <w:uiPriority w:val="11"/>
    <w:rPr>
      <w:rFonts w:ascii="Georgia" w:hAnsi="Georgia" w:eastAsia="Georgia" w:cs="Georgia"/>
      <w:i/>
      <w:color w:val="666666"/>
      <w:kern w:val="0"/>
      <w:position w:val="-1"/>
      <w:sz w:val="48"/>
      <w:szCs w:val="48"/>
      <w14:ligatures w14:val="none"/>
    </w:rPr>
  </w:style>
  <w:style w:type="paragraph" w:customStyle="1" w:styleId="136">
    <w:name w:val="List Paragraph3"/>
    <w:basedOn w:val="1"/>
    <w:qFormat/>
    <w:uiPriority w:val="0"/>
    <w:pPr>
      <w:ind w:left="720"/>
      <w:contextualSpacing/>
    </w:pPr>
  </w:style>
  <w:style w:type="table" w:customStyle="1" w:styleId="137">
    <w:name w:val="Table Grid1"/>
    <w:basedOn w:val="12"/>
    <w:qFormat/>
    <w:uiPriority w:val="0"/>
    <w:pPr>
      <w:suppressAutoHyphens/>
      <w:spacing w:after="0" w:line="1" w:lineRule="atLeast"/>
      <w:ind w:left="-1" w:leftChars="-1" w:hanging="1" w:hangingChars="1"/>
      <w:textAlignment w:val="top"/>
      <w:outlineLvl w:val="0"/>
    </w:pPr>
    <w:rPr>
      <w:rFonts w:ascii="Calibri" w:hAnsi="Calibri" w:eastAsia="Calibri" w:cs="Times New Roman"/>
      <w:kern w:val="0"/>
      <w:position w:val="-1"/>
      <w:sz w:val="24"/>
      <w:szCs w:val="24"/>
      <w:lang w:val="vi-VN" w:eastAsia="vi-V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8">
    <w:name w:val="Body Text 3 Char"/>
    <w:basedOn w:val="11"/>
    <w:link w:val="17"/>
    <w:semiHidden/>
    <w:qFormat/>
    <w:uiPriority w:val="99"/>
    <w:rPr>
      <w:rFonts w:ascii="Times New Roman" w:hAnsi="Times New Roman" w:eastAsia="Times New Roman" w:cs="Times New Roman"/>
      <w:kern w:val="0"/>
      <w:sz w:val="16"/>
      <w:szCs w:val="16"/>
      <w:lang w:val="vi-VN" w:eastAsia="vi-VN"/>
      <w14:ligatures w14:val="none"/>
    </w:rPr>
  </w:style>
  <w:style w:type="paragraph" w:styleId="13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70</Pages>
  <Words>16475</Words>
  <Characters>93912</Characters>
  <Lines>782</Lines>
  <Paragraphs>220</Paragraphs>
  <TotalTime>47</TotalTime>
  <ScaleCrop>false</ScaleCrop>
  <LinksUpToDate>false</LinksUpToDate>
  <CharactersWithSpaces>110167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2024-10-21T08:36:00Z</dcterms:created>
  <dc:creator>Nguyen Thi My Huyen</dc:creator>
  <cp:lastModifiedBy>Hoang Hung Nguyen</cp:lastModifiedBy>
  <dcterms:modified xsi:type="dcterms:W3CDTF">2024-10-21T11:12:27Z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E77AF64F6B024481B35489762C321160_12</vt:lpwstr>
  </property>
</Properties>
</file>