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348" w:type="dxa"/>
        <w:tblInd w:w="-459" w:type="dxa"/>
        <w:tblLayout w:type="fixed"/>
        <w:tblLook w:val="04A0" w:firstRow="1" w:lastRow="0" w:firstColumn="1" w:lastColumn="0" w:noHBand="0" w:noVBand="1"/>
      </w:tblPr>
      <w:tblGrid>
        <w:gridCol w:w="4111"/>
        <w:gridCol w:w="6237"/>
      </w:tblGrid>
      <w:tr w:rsidR="00431FD8">
        <w:tc>
          <w:tcPr>
            <w:tcW w:w="4111" w:type="dxa"/>
          </w:tcPr>
          <w:p w:rsidR="00431FD8" w:rsidRDefault="00000000">
            <w:pPr>
              <w:jc w:val="center"/>
              <w:rPr>
                <w:b/>
                <w:bCs/>
                <w:sz w:val="26"/>
                <w:szCs w:val="26"/>
              </w:rPr>
            </w:pPr>
            <w:r>
              <w:br w:type="page"/>
            </w:r>
            <w:r>
              <w:rPr>
                <w:b/>
                <w:bCs/>
                <w:sz w:val="26"/>
                <w:szCs w:val="26"/>
              </w:rPr>
              <w:t>ỦY BAN NHÂN DÂN</w:t>
            </w:r>
          </w:p>
          <w:p w:rsidR="00431FD8" w:rsidRDefault="00000000">
            <w:pPr>
              <w:jc w:val="center"/>
            </w:pPr>
            <w:r>
              <w:rPr>
                <w:b/>
                <w:bCs/>
                <w:sz w:val="26"/>
                <w:szCs w:val="26"/>
              </w:rPr>
              <w:t>THÀNH PHỐ HỒ CHÍ MINH</w:t>
            </w:r>
          </w:p>
          <w:p w:rsidR="00431FD8" w:rsidRDefault="00000000">
            <w:pPr>
              <w:jc w:val="center"/>
            </w:pPr>
            <w:r>
              <w:rPr>
                <w:noProof/>
                <w:sz w:val="26"/>
                <w:szCs w:val="26"/>
              </w:rPr>
              <mc:AlternateContent>
                <mc:Choice Requires="wps">
                  <w:drawing>
                    <wp:anchor distT="0" distB="0" distL="114300" distR="114300" simplePos="0" relativeHeight="251659264" behindDoc="0" locked="0" layoutInCell="1" allowOverlap="1">
                      <wp:simplePos x="0" y="0"/>
                      <wp:positionH relativeFrom="column">
                        <wp:posOffset>813435</wp:posOffset>
                      </wp:positionH>
                      <wp:positionV relativeFrom="paragraph">
                        <wp:posOffset>46990</wp:posOffset>
                      </wp:positionV>
                      <wp:extent cx="845185" cy="0"/>
                      <wp:effectExtent l="0" t="0" r="12065" b="19050"/>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45388" cy="0"/>
                              </a:xfrm>
                              <a:prstGeom prst="straightConnector1">
                                <a:avLst/>
                              </a:prstGeom>
                              <a:noFill/>
                              <a:ln w="9525">
                                <a:solidFill>
                                  <a:srgbClr val="000000"/>
                                </a:solidFill>
                                <a:round/>
                              </a:ln>
                            </wps:spPr>
                            <wps:bodyPr/>
                          </wps:wsp>
                        </a:graphicData>
                      </a:graphic>
                    </wp:anchor>
                  </w:drawing>
                </mc:Choice>
                <mc:Fallback xmlns:wpsCustomData="http://www.wps.cn/officeDocument/2013/wpsCustomData">
                  <w:pict>
                    <v:shape id="_x0000_s1026" o:spid="_x0000_s1026" o:spt="32" type="#_x0000_t32" style="position:absolute;left:0pt;margin-left:64.05pt;margin-top:3.7pt;height:0pt;width:66.55pt;z-index:251659264;mso-width-relative:page;mso-height-relative:page;" filled="f" stroked="t" coordsize="21600,21600" o:gfxdata="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DG/7Ii0wAAAAcBAAAPAAAAAAAAAAEA&#10;IAAAACIAAABkcnMvZG93bnJldi54bWxQSwECFAAUAAAACACHTuJA8yT/JtsBAADCAwAADgAAAAAA&#10;AAABACAAAAAiAQAAZHJzL2Uyb0RvYy54bWxQSwUGAAAAAAYABgBZAQAAbwUAAAAA&#10;">
                      <v:fill on="f" focussize="0,0"/>
                      <v:stroke color="#000000" joinstyle="round"/>
                      <v:imagedata o:title=""/>
                      <o:lock v:ext="edit" aspectratio="f"/>
                    </v:shape>
                  </w:pict>
                </mc:Fallback>
              </mc:AlternateContent>
            </w:r>
          </w:p>
          <w:p w:rsidR="00431FD8" w:rsidRDefault="00000000">
            <w:pPr>
              <w:jc w:val="center"/>
              <w:rPr>
                <w:sz w:val="26"/>
                <w:szCs w:val="26"/>
              </w:rPr>
            </w:pPr>
            <w:r>
              <w:rPr>
                <w:sz w:val="26"/>
                <w:szCs w:val="26"/>
              </w:rPr>
              <w:t>Số:          /UBND-VX</w:t>
            </w:r>
          </w:p>
          <w:p w:rsidR="00431FD8" w:rsidRDefault="00431FD8">
            <w:pPr>
              <w:spacing w:before="120"/>
              <w:jc w:val="center"/>
              <w:rPr>
                <w:sz w:val="26"/>
                <w:szCs w:val="26"/>
              </w:rPr>
            </w:pPr>
          </w:p>
        </w:tc>
        <w:tc>
          <w:tcPr>
            <w:tcW w:w="6237" w:type="dxa"/>
          </w:tcPr>
          <w:p w:rsidR="00431FD8" w:rsidRDefault="00000000">
            <w:pPr>
              <w:pStyle w:val="BodyText"/>
              <w:ind w:left="32" w:hanging="32"/>
              <w:rPr>
                <w:rFonts w:ascii="Times New Roman" w:hAnsi="Times New Roman"/>
                <w:szCs w:val="26"/>
              </w:rPr>
            </w:pPr>
            <w:r>
              <w:rPr>
                <w:rFonts w:ascii="Times New Roman" w:hAnsi="Times New Roman"/>
                <w:szCs w:val="26"/>
              </w:rPr>
              <w:t>CỘNG HÒA XÃ HỘI CHỦ NGHĨA VIỆT NAM</w:t>
            </w:r>
          </w:p>
          <w:p w:rsidR="00431FD8" w:rsidRDefault="00000000">
            <w:pPr>
              <w:jc w:val="center"/>
              <w:rPr>
                <w:b/>
              </w:rPr>
            </w:pPr>
            <w:r>
              <w:rPr>
                <w:b/>
              </w:rPr>
              <w:t>Độc lập - Tự do - Hạnh phúc</w:t>
            </w:r>
          </w:p>
          <w:p w:rsidR="00431FD8" w:rsidRDefault="00000000">
            <w:pPr>
              <w:pStyle w:val="Heading3"/>
              <w:spacing w:before="240"/>
              <w:rPr>
                <w:rFonts w:ascii="Times New Roman" w:hAnsi="Times New Roman"/>
                <w:b w:val="0"/>
                <w:i/>
              </w:rPr>
            </w:pPr>
            <w:r>
              <w:rPr>
                <w:rFonts w:ascii="Times New Roman" w:hAnsi="Times New Roman"/>
                <w:b w:val="0"/>
                <w:i/>
                <w:noProof/>
                <w:color w:val="auto"/>
                <w:sz w:val="27"/>
                <w:szCs w:val="27"/>
              </w:rPr>
              <mc:AlternateContent>
                <mc:Choice Requires="wps">
                  <w:drawing>
                    <wp:anchor distT="0" distB="0" distL="114300" distR="114300" simplePos="0" relativeHeight="251660288" behindDoc="0" locked="0" layoutInCell="1" allowOverlap="1">
                      <wp:simplePos x="0" y="0"/>
                      <wp:positionH relativeFrom="column">
                        <wp:posOffset>817245</wp:posOffset>
                      </wp:positionH>
                      <wp:positionV relativeFrom="paragraph">
                        <wp:posOffset>27305</wp:posOffset>
                      </wp:positionV>
                      <wp:extent cx="2200910" cy="0"/>
                      <wp:effectExtent l="0" t="4445" r="0" b="5080"/>
                      <wp:wrapNone/>
                      <wp:docPr id="13" name="Straight Arrow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00910" cy="0"/>
                              </a:xfrm>
                              <a:prstGeom prst="straightConnector1">
                                <a:avLst/>
                              </a:prstGeom>
                              <a:noFill/>
                              <a:ln w="9525">
                                <a:solidFill>
                                  <a:srgbClr val="000000"/>
                                </a:solidFill>
                                <a:round/>
                              </a:ln>
                            </wps:spPr>
                            <wps:bodyPr/>
                          </wps:wsp>
                        </a:graphicData>
                      </a:graphic>
                    </wp:anchor>
                  </w:drawing>
                </mc:Choice>
                <mc:Fallback xmlns:wpsCustomData="http://www.wps.cn/officeDocument/2013/wpsCustomData">
                  <w:pict>
                    <v:shape id="_x0000_s1026" o:spid="_x0000_s1026" o:spt="32" type="#_x0000_t32" style="position:absolute;left:0pt;margin-left:64.35pt;margin-top:2.15pt;height:0pt;width:173.3pt;z-index:251660288;mso-width-relative:page;mso-height-relative:page;" filled="f" stroked="t" coordsize="21600,21600" o:gfxdata="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stlzxtUAAAAHAQAADwAAAAAAAAAB&#10;ACAAAAAiAAAAZHJzL2Rvd25yZXYueG1sUEsBAhQAFAAAAAgAh07iQJuInV3aAQAAwwMAAA4AAAAA&#10;AAAAAQAgAAAAJAEAAGRycy9lMm9Eb2MueG1sUEsFBgAAAAAGAAYAWQEAAHAFAAAAAA==&#10;">
                      <v:fill on="f" focussize="0,0"/>
                      <v:stroke color="#000000" joinstyle="round"/>
                      <v:imagedata o:title=""/>
                      <o:lock v:ext="edit" aspectratio="f"/>
                    </v:shape>
                  </w:pict>
                </mc:Fallback>
              </mc:AlternateContent>
            </w:r>
            <w:r>
              <w:rPr>
                <w:rFonts w:ascii="Times New Roman" w:hAnsi="Times New Roman"/>
                <w:b w:val="0"/>
                <w:i/>
                <w:color w:val="auto"/>
                <w:sz w:val="27"/>
                <w:szCs w:val="27"/>
              </w:rPr>
              <w:t>Thành phố Hồ Chí Minh, ngày        tháng    năm 2024</w:t>
            </w:r>
          </w:p>
        </w:tc>
      </w:tr>
    </w:tbl>
    <w:p w:rsidR="00431FD8" w:rsidRDefault="00000000">
      <w:pPr>
        <w:pStyle w:val="Heading2"/>
        <w:spacing w:before="120" w:line="360" w:lineRule="exact"/>
        <w:ind w:right="-16"/>
        <w:jc w:val="left"/>
        <w:rPr>
          <w:sz w:val="28"/>
          <w:szCs w:val="28"/>
        </w:rPr>
      </w:pPr>
      <w:r>
        <w:rPr>
          <w:noProof/>
          <w:sz w:val="28"/>
          <w:szCs w:val="28"/>
        </w:rPr>
        <mc:AlternateContent>
          <mc:Choice Requires="wps">
            <w:drawing>
              <wp:anchor distT="0" distB="0" distL="114300" distR="114300" simplePos="0" relativeHeight="251662336" behindDoc="0" locked="0" layoutInCell="1" allowOverlap="1">
                <wp:simplePos x="0" y="0"/>
                <wp:positionH relativeFrom="column">
                  <wp:posOffset>359410</wp:posOffset>
                </wp:positionH>
                <wp:positionV relativeFrom="paragraph">
                  <wp:posOffset>59055</wp:posOffset>
                </wp:positionV>
                <wp:extent cx="1121410" cy="276225"/>
                <wp:effectExtent l="0" t="0" r="21590" b="10160"/>
                <wp:wrapNone/>
                <wp:docPr id="8" name="Text Box 8"/>
                <wp:cNvGraphicFramePr/>
                <a:graphic xmlns:a="http://schemas.openxmlformats.org/drawingml/2006/main">
                  <a:graphicData uri="http://schemas.microsoft.com/office/word/2010/wordprocessingShape">
                    <wps:wsp>
                      <wps:cNvSpPr txBox="1"/>
                      <wps:spPr>
                        <a:xfrm>
                          <a:off x="0" y="0"/>
                          <a:ext cx="1121434" cy="276045"/>
                        </a:xfrm>
                        <a:prstGeom prst="rect">
                          <a:avLst/>
                        </a:prstGeom>
                        <a:solidFill>
                          <a:schemeClr val="lt1"/>
                        </a:solidFill>
                        <a:ln w="6350">
                          <a:solidFill>
                            <a:schemeClr val="tx1"/>
                          </a:solidFill>
                        </a:ln>
                        <a:effectLst/>
                      </wps:spPr>
                      <wps:style>
                        <a:lnRef idx="0">
                          <a:schemeClr val="accent1"/>
                        </a:lnRef>
                        <a:fillRef idx="0">
                          <a:schemeClr val="accent1"/>
                        </a:fillRef>
                        <a:effectRef idx="0">
                          <a:schemeClr val="accent1"/>
                        </a:effectRef>
                        <a:fontRef idx="minor">
                          <a:schemeClr val="dk1"/>
                        </a:fontRef>
                      </wps:style>
                      <wps:txbx>
                        <w:txbxContent>
                          <w:p w:rsidR="00431FD8" w:rsidRDefault="00000000">
                            <w:pPr>
                              <w:jc w:val="center"/>
                              <w:rPr>
                                <w:b/>
                                <w:sz w:val="24"/>
                                <w:szCs w:val="24"/>
                              </w:rPr>
                            </w:pPr>
                            <w:r>
                              <w:rPr>
                                <w:b/>
                                <w:sz w:val="24"/>
                                <w:szCs w:val="24"/>
                              </w:rPr>
                              <w:t>DỰ THẢO</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28.3pt;margin-top:4.65pt;height:21.75pt;width:88.3pt;z-index:251662336;mso-width-relative:page;mso-height-relative:page;" fillcolor="#FFFFFF [3201]" filled="t" stroked="t" coordsize="21600,21600" o:gfxdata="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OEf50HTAAAABwEAAA8AAAAAAAAAAQAg&#10;AAAAIgAAAGRycy9kb3ducmV2LnhtbFBLAQIUABQAAAAIAIdO4kAC0oeqTAIAAMUEAAAOAAAAAAAA&#10;AAEAIAAAACIBAABkcnMvZTJvRG9jLnhtbFBLBQYAAAAABgAGAFkBAADgBQAAAAA=&#10;">
                <v:fill on="t" focussize="0,0"/>
                <v:stroke weight="0.5pt" color="#000000 [3213]" joinstyle="round"/>
                <v:imagedata o:title=""/>
                <o:lock v:ext="edit" aspectratio="f"/>
                <v:textbox>
                  <w:txbxContent>
                    <w:p w14:paraId="7CD59925">
                      <w:pPr>
                        <w:jc w:val="center"/>
                        <w:rPr>
                          <w:b/>
                          <w:sz w:val="24"/>
                          <w:szCs w:val="24"/>
                        </w:rPr>
                      </w:pPr>
                      <w:r>
                        <w:rPr>
                          <w:b/>
                          <w:sz w:val="24"/>
                          <w:szCs w:val="24"/>
                        </w:rPr>
                        <w:t>DỰ THẢO</w:t>
                      </w:r>
                    </w:p>
                  </w:txbxContent>
                </v:textbox>
              </v:shape>
            </w:pict>
          </mc:Fallback>
        </mc:AlternateContent>
      </w:r>
    </w:p>
    <w:p w:rsidR="00431FD8" w:rsidRDefault="00000000">
      <w:pPr>
        <w:pStyle w:val="Heading2"/>
        <w:spacing w:before="120" w:line="360" w:lineRule="exact"/>
        <w:ind w:right="-16"/>
        <w:rPr>
          <w:sz w:val="28"/>
          <w:szCs w:val="28"/>
        </w:rPr>
      </w:pPr>
      <w:r>
        <w:rPr>
          <w:sz w:val="28"/>
          <w:szCs w:val="28"/>
        </w:rPr>
        <w:t>TỜ TRÌNH</w:t>
      </w:r>
    </w:p>
    <w:p w:rsidR="00431FD8" w:rsidRDefault="00000000">
      <w:pPr>
        <w:jc w:val="center"/>
        <w:rPr>
          <w:b/>
          <w:spacing w:val="-4"/>
          <w:lang w:val="en-GB"/>
        </w:rPr>
      </w:pPr>
      <w:r>
        <w:rPr>
          <w:b/>
          <w:spacing w:val="-4"/>
          <w:lang w:val="en-GB"/>
        </w:rPr>
        <w:t xml:space="preserve">Đề nghị xây dựng Nghị quyết của Hội đồng nhân dân Thành phố </w:t>
      </w:r>
      <w:bookmarkStart w:id="0" w:name="_Hlk178845437"/>
    </w:p>
    <w:p w:rsidR="00431FD8" w:rsidRDefault="00000000">
      <w:pPr>
        <w:jc w:val="center"/>
        <w:rPr>
          <w:rFonts w:ascii="Times New Roman Bold" w:hAnsi="Times New Roman Bold"/>
          <w:b/>
          <w:spacing w:val="-4"/>
        </w:rPr>
      </w:pPr>
      <w:r>
        <w:rPr>
          <w:b/>
          <w:spacing w:val="-4"/>
          <w:lang w:val="en-GB"/>
        </w:rPr>
        <w:t xml:space="preserve">Quy định </w:t>
      </w:r>
      <w:r>
        <w:rPr>
          <w:b/>
          <w:spacing w:val="-4"/>
        </w:rPr>
        <w:t xml:space="preserve">mức thưởng thêm đối với tập thể, cá nhân, hộ gia đình </w:t>
      </w:r>
      <w:r>
        <w:rPr>
          <w:b/>
          <w:bCs/>
          <w:spacing w:val="-4"/>
        </w:rPr>
        <w:t xml:space="preserve">có </w:t>
      </w:r>
      <w:r>
        <w:rPr>
          <w:b/>
          <w:spacing w:val="-4"/>
        </w:rPr>
        <w:t xml:space="preserve">thành tích vượt trội, đặc biệt xuất sắc đột xuất theo </w:t>
      </w:r>
      <w:bookmarkStart w:id="1" w:name="_Hlk179970309"/>
      <w:r>
        <w:rPr>
          <w:b/>
          <w:spacing w:val="-4"/>
        </w:rPr>
        <w:t xml:space="preserve">điểm b khoản 1 Điều 11 </w:t>
      </w:r>
      <w:bookmarkEnd w:id="1"/>
      <w:r>
        <w:rPr>
          <w:b/>
          <w:spacing w:val="-4"/>
        </w:rPr>
        <w:t>Nghị định số 84/2024/NĐ-CP ngày 10 tháng 7 năm 2024 của Chính phủ về thí điểm phân cấp quản lý nhà nước một số lĩnh vực cho chính quyền Thành phố Hồ Chí Minh</w:t>
      </w:r>
      <w:bookmarkEnd w:id="0"/>
    </w:p>
    <w:p w:rsidR="00431FD8" w:rsidRDefault="00000000">
      <w:pPr>
        <w:pStyle w:val="Heading2"/>
        <w:spacing w:before="120" w:line="360" w:lineRule="exact"/>
        <w:ind w:right="-16"/>
        <w:jc w:val="left"/>
        <w:rPr>
          <w:b w:val="0"/>
          <w:sz w:val="28"/>
          <w:szCs w:val="28"/>
        </w:rPr>
      </w:pPr>
      <w:r>
        <w:rPr>
          <w:noProof/>
        </w:rPr>
        <mc:AlternateContent>
          <mc:Choice Requires="wps">
            <w:drawing>
              <wp:anchor distT="0" distB="0" distL="114300" distR="114300" simplePos="0" relativeHeight="251661312" behindDoc="0" locked="0" layoutInCell="1" allowOverlap="1">
                <wp:simplePos x="0" y="0"/>
                <wp:positionH relativeFrom="column">
                  <wp:posOffset>2608580</wp:posOffset>
                </wp:positionH>
                <wp:positionV relativeFrom="paragraph">
                  <wp:posOffset>143510</wp:posOffset>
                </wp:positionV>
                <wp:extent cx="732790" cy="0"/>
                <wp:effectExtent l="0" t="0" r="10160" b="19050"/>
                <wp:wrapNone/>
                <wp:docPr id="15" name="Straight Arrow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2838" cy="0"/>
                        </a:xfrm>
                        <a:prstGeom prst="straightConnector1">
                          <a:avLst/>
                        </a:prstGeom>
                        <a:noFill/>
                        <a:ln w="9525">
                          <a:solidFill>
                            <a:srgbClr val="000000"/>
                          </a:solidFill>
                          <a:round/>
                        </a:ln>
                      </wps:spPr>
                      <wps:bodyPr/>
                    </wps:wsp>
                  </a:graphicData>
                </a:graphic>
              </wp:anchor>
            </w:drawing>
          </mc:Choice>
          <mc:Fallback xmlns:wpsCustomData="http://www.wps.cn/officeDocument/2013/wpsCustomData">
            <w:pict>
              <v:shape id="_x0000_s1026" o:spid="_x0000_s1026" o:spt="32" type="#_x0000_t32" style="position:absolute;left:0pt;margin-left:205.4pt;margin-top:11.3pt;height:0pt;width:57.7pt;z-index:251661312;mso-width-relative:page;mso-height-relative:page;" filled="f" stroked="t" coordsize="21600,21600" o:gfxdata="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JsnDRnWAAAACQEAAA8AAAAAAAAA&#10;AQAgAAAAIgAAAGRycy9kb3ducmV2LnhtbFBLAQIUABQAAAAIAIdO4kDhBVSr2gEAAMIDAAAOAAAA&#10;AAAAAAEAIAAAACUBAABkcnMvZTJvRG9jLnhtbFBLBQYAAAAABgAGAFkBAABxBQAAAAA=&#10;">
                <v:fill on="f" focussize="0,0"/>
                <v:stroke color="#000000" joinstyle="round"/>
                <v:imagedata o:title=""/>
                <o:lock v:ext="edit" aspectratio="f"/>
              </v:shape>
            </w:pict>
          </mc:Fallback>
        </mc:AlternateContent>
      </w:r>
      <w:r>
        <w:rPr>
          <w:b w:val="0"/>
          <w:sz w:val="28"/>
          <w:szCs w:val="28"/>
        </w:rPr>
        <w:tab/>
        <w:t xml:space="preserve">   </w:t>
      </w:r>
    </w:p>
    <w:p w:rsidR="00431FD8" w:rsidRDefault="00000000">
      <w:pPr>
        <w:pStyle w:val="Heading2"/>
        <w:spacing w:before="240"/>
        <w:ind w:right="-40"/>
        <w:rPr>
          <w:b w:val="0"/>
          <w:color w:val="000000"/>
          <w:sz w:val="28"/>
          <w:szCs w:val="20"/>
        </w:rPr>
      </w:pPr>
      <w:r>
        <w:rPr>
          <w:b w:val="0"/>
          <w:bCs w:val="0"/>
          <w:color w:val="000000"/>
          <w:sz w:val="28"/>
        </w:rPr>
        <w:t>Kính gửi: Thường trực Hội đồng nhân dân Thành phố</w:t>
      </w:r>
    </w:p>
    <w:p w:rsidR="00431FD8" w:rsidRDefault="00431FD8">
      <w:pPr>
        <w:ind w:right="-6" w:firstLine="720"/>
        <w:jc w:val="both"/>
      </w:pPr>
    </w:p>
    <w:p w:rsidR="00431FD8" w:rsidRDefault="00000000">
      <w:pPr>
        <w:tabs>
          <w:tab w:val="left" w:pos="3600"/>
        </w:tabs>
        <w:spacing w:before="120" w:after="120" w:line="276" w:lineRule="auto"/>
        <w:ind w:firstLine="709"/>
        <w:jc w:val="both"/>
        <w:rPr>
          <w:i/>
          <w:iCs/>
        </w:rPr>
      </w:pPr>
      <w:r>
        <w:t>Căn cứ điểm b khoản 1 Điều 11 Nghị định số 84/2024/NĐ-CP ngày 10 tháng 7 năm 2024 của Chính phủ về thí điểm phân cấp quản lý nhà nước một số lĩnh vực cho chính quyền Thành phố Hồ Chí Minh quy định:</w:t>
      </w:r>
      <w:r>
        <w:rPr>
          <w:i/>
          <w:iCs/>
        </w:rPr>
        <w:t>“Căn cứ điều kiện, tình hình thực tế và ngân sách, Thành phố quyết định mức thưởng thêm đối với tập thể, cá nhân lập thành tích vượt trội hoặc đặc biệt xuất sắc đột xuất trong sự nghiệp xây dựng, bảo vệ Tổ quốc và góp phần thúc đẩy phát triển kinh tế - xã hội, quốc phòng - an ninh của Thành phố ngoài mức thưởng theo quy định hiện hành, phù hợp với khả năng cân đối ngân sách của Thành phố”.</w:t>
      </w:r>
    </w:p>
    <w:p w:rsidR="00431FD8" w:rsidRDefault="00000000">
      <w:pPr>
        <w:tabs>
          <w:tab w:val="center" w:pos="1364"/>
          <w:tab w:val="left" w:pos="3600"/>
          <w:tab w:val="center" w:pos="6231"/>
        </w:tabs>
        <w:spacing w:before="120" w:after="120" w:line="276" w:lineRule="auto"/>
        <w:ind w:firstLine="720"/>
        <w:jc w:val="both"/>
      </w:pPr>
      <w:r>
        <w:rPr>
          <w:color w:val="000000"/>
        </w:rPr>
        <w:t xml:space="preserve">Ủy ban nhân dân Thành phố kính trình Hội đồng nhân dân Thành phố dự thảo Nghị quyết Quy </w:t>
      </w:r>
      <w:r>
        <w:t xml:space="preserve">định mức thưởng thêm </w:t>
      </w:r>
      <w:bookmarkStart w:id="2" w:name="_Hlk179965709"/>
      <w:r>
        <w:t xml:space="preserve">đối với tập thể, cá nhân, hộ gia đình lập thành tích vượt trội, đặc biệt xuất sắc đột xuất theo </w:t>
      </w:r>
      <w:bookmarkStart w:id="3" w:name="_Hlk179980146"/>
      <w:r>
        <w:t>Nghị định số 84/2024/NĐ-CP ngày 10 tháng 7 năm 2024 của Chính phủ</w:t>
      </w:r>
      <w:bookmarkEnd w:id="3"/>
      <w:r>
        <w:t xml:space="preserve"> </w:t>
      </w:r>
      <w:bookmarkStart w:id="4" w:name="_Hlk179980208"/>
      <w:r>
        <w:t>về thí điểm phân cấp quản lý nhà nước một số lĩnh vực cho chính quyền Thành phố Hồ Chí Minh</w:t>
      </w:r>
      <w:bookmarkEnd w:id="4"/>
      <w:r>
        <w:t xml:space="preserve"> </w:t>
      </w:r>
      <w:bookmarkEnd w:id="2"/>
      <w:r>
        <w:t>như sau:</w:t>
      </w:r>
    </w:p>
    <w:p w:rsidR="00431FD8" w:rsidRDefault="00000000">
      <w:pPr>
        <w:spacing w:before="120" w:after="120" w:line="276" w:lineRule="auto"/>
        <w:ind w:firstLine="709"/>
        <w:jc w:val="both"/>
        <w:rPr>
          <w:b/>
          <w:bCs/>
        </w:rPr>
      </w:pPr>
      <w:r>
        <w:rPr>
          <w:b/>
          <w:bCs/>
        </w:rPr>
        <w:t>I. SỰ CẦN THIẾT BAN HÀNH VĂN BẢN</w:t>
      </w:r>
    </w:p>
    <w:p w:rsidR="00431FD8" w:rsidRDefault="00000000">
      <w:pPr>
        <w:tabs>
          <w:tab w:val="left" w:pos="3600"/>
        </w:tabs>
        <w:spacing w:before="120" w:after="120" w:line="276" w:lineRule="auto"/>
        <w:ind w:firstLine="709"/>
        <w:jc w:val="both"/>
        <w:rPr>
          <w:b/>
        </w:rPr>
      </w:pPr>
      <w:r>
        <w:rPr>
          <w:b/>
        </w:rPr>
        <w:t>1. Cơ sở pháp lý</w:t>
      </w:r>
    </w:p>
    <w:p w:rsidR="00431FD8" w:rsidRDefault="00000000">
      <w:pPr>
        <w:tabs>
          <w:tab w:val="left" w:pos="3600"/>
        </w:tabs>
        <w:spacing w:before="120" w:after="120" w:line="276" w:lineRule="auto"/>
        <w:ind w:firstLine="709"/>
        <w:jc w:val="both"/>
      </w:pPr>
      <w:r>
        <w:t>Căn cứ Luật Ngân sách nhà nước ngày 25 tháng 6 năm 2015; trong đó tại điểm h khoản 9 Điều 30 về nhiệm vụ, quyền hạn của Hội đồng nhân dân các cấp quy định:</w:t>
      </w:r>
      <w:r>
        <w:rPr>
          <w:i/>
        </w:rPr>
        <w:t>“Quyết định các chế độ chi ngân sách đối với một số nhiệm vụ chi có tính chất đặc thù ở địa phương ngoài các chế độ, tiêu chuẩn, định mức chi ngân sách do Chính phủ, Bộ trưởng Bộ Tài chính ban hành để thực hiện nhiệm vụ phát triển kinh tế - xã hội, bảo đảm trật tự, an toàn xã hội trên địa bàn, phù hợp với khả năng cân đối của ngân sách địa phương”.</w:t>
      </w:r>
    </w:p>
    <w:p w:rsidR="00431FD8" w:rsidRDefault="00000000">
      <w:pPr>
        <w:tabs>
          <w:tab w:val="left" w:pos="3600"/>
        </w:tabs>
        <w:spacing w:before="120" w:after="120" w:line="276" w:lineRule="auto"/>
        <w:ind w:firstLine="709"/>
        <w:jc w:val="both"/>
        <w:rPr>
          <w:i/>
        </w:rPr>
      </w:pPr>
      <w:r>
        <w:lastRenderedPageBreak/>
        <w:t>Căn cứ khoản 3 Điều 21 Nghị định số 163/2016/NĐ-CP ngày 21 tháng 12 năm 2016 của Chính phủ quy định chi tiết thi hành một số điều của Luật Ngân sách Nhà nước quy định thẩm quyền của Hội đồng nhân dân cấp tỉnh quyết định mức phân bổ và chế độ, tiêu chuẩn, định mức chi tiêu ngân sách quy định:</w:t>
      </w:r>
      <w:r>
        <w:rPr>
          <w:i/>
        </w:rPr>
        <w:t>“Quyết định các chế độ chi ngân sách đối với một số nhiệm vụ chi có tính chất đặc thù ở địa phương ngoài các chế độ, tiêu chuẩn, định mức chi tiêu do Chính phủ, Thủ tướng Chính phủ, Bộ trưởng Bộ Tài chính ban hành để thực hiện nhiệm vụ phát triển kinh tế - xã hội, bảo đảm trật tự, an toàn xã hội trên địa bàn, phù hợp với khả năng cân đối của ngân sách địa phương, ngân sách Trung ương không hỗ trợ. Riêng những chế độ chi có tính chất tiền lương, tiền công, phụ cấp trước khi quyết định phải có ý kiến của Bộ Tài chính, Bộ Nội vụ, Bộ Lao động - Thương binh và Xã hội và các bộ quản lý ngành, lĩnh vực trực tiếp”.</w:t>
      </w:r>
    </w:p>
    <w:p w:rsidR="00431FD8" w:rsidRDefault="00000000">
      <w:pPr>
        <w:tabs>
          <w:tab w:val="left" w:pos="3600"/>
        </w:tabs>
        <w:spacing w:before="120" w:after="120" w:line="276" w:lineRule="auto"/>
        <w:ind w:firstLine="709"/>
        <w:jc w:val="both"/>
        <w:rPr>
          <w:i/>
          <w:iCs/>
        </w:rPr>
      </w:pPr>
      <w:r>
        <w:t xml:space="preserve">Căn cứ </w:t>
      </w:r>
      <w:bookmarkStart w:id="5" w:name="_Hlk179970562"/>
      <w:r>
        <w:t xml:space="preserve">điểm b khoản 1 Điều 11 </w:t>
      </w:r>
      <w:bookmarkEnd w:id="5"/>
      <w:r>
        <w:t>Nghị định số 84/2024/NĐ-CP ngày 10 tháng 7 năm 2024 của Chính phủ về thí điểm phân cấp quản lý nhà nước một số lĩnh vực cho chính quyền Thành phố Hồ Chí Minh quy định:</w:t>
      </w:r>
      <w:r>
        <w:rPr>
          <w:i/>
          <w:iCs/>
        </w:rPr>
        <w:t>“Căn cứ điều kiện, tình hình thực tế và ngân sách, Thành phố quyết định mức thưởng thêm đối với tập thể, cá nhân lập thành tích vượt trội hoặc đặc biệt xuất sắc đột xuất trong sự nghiệp xây dựng, bảo vệ Tổ quốc và góp phần thúc đẩy phát triển kinh tế - xã hội, quốc phòng - an ninh của Thành phố ngoài mức thưởng theo quy định hiện hành, phù hợp với khả năng cân đối ngân sách của Thành phố”.</w:t>
      </w:r>
    </w:p>
    <w:p w:rsidR="00431FD8" w:rsidRDefault="00000000">
      <w:pPr>
        <w:tabs>
          <w:tab w:val="left" w:pos="3600"/>
        </w:tabs>
        <w:spacing w:before="120" w:after="120" w:line="276" w:lineRule="auto"/>
        <w:ind w:firstLine="709"/>
        <w:jc w:val="both"/>
      </w:pPr>
      <w:r>
        <w:t>Căn cứ khoản 4 Điều 3 Nghị định số 98/NĐ-CP ngày 31 tháng 12 năm 2024 của Chính phủ quy định chi tiết một số điều của Luật Thi đua, khen thưởng quy định: “</w:t>
      </w:r>
      <w:r>
        <w:rPr>
          <w:i/>
          <w:iCs/>
        </w:rPr>
        <w:t>Thành tích đặc biệt xuất sắc đột xuất là thành tích đột xuất đạt được ở mức độ đặc biệt xuất sắc khi dũng cảm cứu người, cứu tài sản của Nhân dân, của Nhà nước hoặc trong chiến đấu, phục vụ chiến đấu hoặc lập được thành tích đặc biệt xuất sắc trong các lĩnh vực kinh tế xã hội, văn hóa, thể thao và các lĩnh vực khác ở trong nước hoặc khu vực, thế giới</w:t>
      </w:r>
      <w:r>
        <w:t>”.</w:t>
      </w:r>
    </w:p>
    <w:p w:rsidR="00431FD8" w:rsidRDefault="00000000">
      <w:pPr>
        <w:spacing w:before="120" w:after="120" w:line="276" w:lineRule="auto"/>
        <w:ind w:firstLineChars="252" w:firstLine="708"/>
        <w:jc w:val="both"/>
        <w:rPr>
          <w:b/>
          <w:bCs/>
        </w:rPr>
      </w:pPr>
      <w:r>
        <w:rPr>
          <w:b/>
          <w:bCs/>
        </w:rPr>
        <w:t xml:space="preserve">2. Cơ sở thực tiễn </w:t>
      </w:r>
    </w:p>
    <w:p w:rsidR="00431FD8" w:rsidRDefault="00000000">
      <w:pPr>
        <w:tabs>
          <w:tab w:val="left" w:pos="3600"/>
        </w:tabs>
        <w:spacing w:before="120" w:after="120" w:line="276" w:lineRule="auto"/>
        <w:ind w:firstLine="709"/>
        <w:jc w:val="both"/>
        <w:rPr>
          <w:spacing w:val="-4"/>
        </w:rPr>
      </w:pPr>
      <w:r>
        <w:rPr>
          <w:spacing w:val="-4"/>
        </w:rPr>
        <w:t>Qua thống kê, t</w:t>
      </w:r>
      <w:r>
        <w:rPr>
          <w:spacing w:val="-4"/>
          <w:lang w:val="vi-VN"/>
        </w:rPr>
        <w:t xml:space="preserve">rong những năm qua </w:t>
      </w:r>
      <w:r>
        <w:rPr>
          <w:spacing w:val="-4"/>
        </w:rPr>
        <w:t xml:space="preserve">Chủ tịch </w:t>
      </w:r>
      <w:r>
        <w:rPr>
          <w:spacing w:val="-4"/>
          <w:lang w:val="vi-VN"/>
        </w:rPr>
        <w:t xml:space="preserve">Ủy ban nhân dân Thành phố </w:t>
      </w:r>
      <w:r>
        <w:rPr>
          <w:spacing w:val="-4"/>
          <w:lang w:val="vi-VN"/>
        </w:rPr>
        <w:br/>
        <w:t xml:space="preserve">Hồ Chí Minh đã ban hành các Quyết định tặng Bằng khen kèm tiền thưởng đối với </w:t>
      </w:r>
      <w:r>
        <w:rPr>
          <w:spacing w:val="-4"/>
        </w:rPr>
        <w:t xml:space="preserve">các </w:t>
      </w:r>
      <w:r>
        <w:rPr>
          <w:spacing w:val="-4"/>
          <w:lang w:val="vi-VN"/>
        </w:rPr>
        <w:t xml:space="preserve">tập thể, cá nhân đã có thành tích </w:t>
      </w:r>
      <w:r>
        <w:rPr>
          <w:spacing w:val="-4"/>
        </w:rPr>
        <w:t xml:space="preserve">vượt trội hoặc đặc biệt </w:t>
      </w:r>
      <w:r>
        <w:rPr>
          <w:spacing w:val="-4"/>
          <w:lang w:val="vi-VN"/>
        </w:rPr>
        <w:t>xuất sắc</w:t>
      </w:r>
      <w:r>
        <w:rPr>
          <w:spacing w:val="-4"/>
        </w:rPr>
        <w:t xml:space="preserve"> đột xuất, cụ thể:</w:t>
      </w:r>
    </w:p>
    <w:p w:rsidR="00431FD8" w:rsidRDefault="00000000">
      <w:pPr>
        <w:tabs>
          <w:tab w:val="left" w:pos="3600"/>
        </w:tabs>
        <w:spacing w:before="120" w:after="120" w:line="276" w:lineRule="auto"/>
        <w:ind w:firstLine="709"/>
        <w:jc w:val="both"/>
        <w:rPr>
          <w:spacing w:val="-4"/>
        </w:rPr>
      </w:pPr>
      <w:r>
        <w:rPr>
          <w:spacing w:val="-4"/>
        </w:rPr>
        <w:t>2.1.</w:t>
      </w:r>
      <w:r>
        <w:rPr>
          <w:spacing w:val="-4"/>
          <w:lang w:val="vi-VN"/>
        </w:rPr>
        <w:t xml:space="preserve"> </w:t>
      </w:r>
      <w:r>
        <w:rPr>
          <w:spacing w:val="-4"/>
        </w:rPr>
        <w:t>Thành tích vượt trội hoặc đặc biệt xuất sắc đột xuất thuộc các lĩnh vực</w:t>
      </w:r>
    </w:p>
    <w:p w:rsidR="00431FD8" w:rsidRDefault="00000000">
      <w:pPr>
        <w:tabs>
          <w:tab w:val="left" w:pos="3600"/>
        </w:tabs>
        <w:spacing w:before="120" w:after="120" w:line="276" w:lineRule="auto"/>
        <w:ind w:firstLine="709"/>
        <w:jc w:val="both"/>
      </w:pPr>
      <w:r>
        <w:t xml:space="preserve">a) Lĩnh vực Quản lý Nhà nước: Các tập thể, cá nhân hoàn thành xuất sắc, vượt trội trước thời hạn các chỉ tiêu phát triển kinh tế - xã hội do Ủy ban nhân dân Thành phố giao; trong công tác quản lý, điều hành có nhiều hiến kế, kịp thời nắm bắt các cơ hội và đưa các giải pháp tháo gỡ khó khăn, cải thiện hoạt động công vụ, thúc đẩy tăng trưởng kinh tế, bảo đảm an sinh xã hội; cụ thể như: tặng Bằng khen kèm tiền </w:t>
      </w:r>
      <w:r>
        <w:lastRenderedPageBreak/>
        <w:t>thưởng cho các cá nhân là Chủ tịch Ủy ban nhân dân phường - xã - thị trấn có thành tích xuất sắc, tiêu biểu; mức thưởng: 10.000.000 đồng/01 cá nhân.</w:t>
      </w:r>
    </w:p>
    <w:p w:rsidR="00431FD8" w:rsidRDefault="00000000">
      <w:pPr>
        <w:tabs>
          <w:tab w:val="left" w:pos="3600"/>
        </w:tabs>
        <w:spacing w:before="120" w:after="120" w:line="276" w:lineRule="auto"/>
        <w:ind w:firstLine="709"/>
        <w:jc w:val="both"/>
      </w:pPr>
      <w:r>
        <w:t>b) Lĩnh vực An ninh - Quốc phòng: Tập thể, cá nhân tham gia</w:t>
      </w:r>
      <w:r>
        <w:rPr>
          <w:rFonts w:eastAsia="Calibri"/>
        </w:rPr>
        <w:t xml:space="preserve"> đấu tranh phòng chống tội phạm, giữ gìn an ninh trật tự, đấu tranh phòng chống tội phạm tàng trữ trái phép ma túy, phòng cháy chữa cháy, cứu nạn, cứu hộ, chống khai thác vận chuyển trái phép khoáng sản (cát)</w:t>
      </w:r>
      <w:r>
        <w:t>; cụ thể như: tặng Bằng khen kèm tiền thưởng cho các tập thể có thành tích xuất sắc trong triệt phá hoạt động mua bán, tàng trữ, vận chuyển trái phép chất ma túy trên địa bàn Thành phố; mức thưởng: 50.000.000 đồng/01 tập thể.</w:t>
      </w:r>
    </w:p>
    <w:p w:rsidR="00431FD8" w:rsidRDefault="00000000">
      <w:pPr>
        <w:tabs>
          <w:tab w:val="left" w:pos="3600"/>
        </w:tabs>
        <w:spacing w:before="120" w:after="120" w:line="276" w:lineRule="auto"/>
        <w:ind w:firstLine="709"/>
        <w:jc w:val="both"/>
      </w:pPr>
      <w:r>
        <w:t>c) Lĩnh vực Văn hóa - Thể thao: Các tác phẩm, tác giả, diễn viên đạt giải cao khi tham gia các Hội thi, Hội diễn, Liên hoan cấp Quốc gia và Quốc tế; Huấn luyện viên, vận động viên đạt thành tích cao khi tham gia thi đấu cấp Quốc gia và Quốc tế; cụ thể như: tặng Bằng khen kèm tiền thưởng 1.000.000.000 đồng đối với đội tuyển bóng đá nữ Thành phố Hồ Chí Minh đã có thành tích xuất sắc đạt Huy chương Vàng tại giải Vô địch Quốc gia - Cúp Thái Sơn Bắc và giải Bóng đá nữ cúp Quốc gia năm 2021.</w:t>
      </w:r>
    </w:p>
    <w:p w:rsidR="00431FD8" w:rsidRDefault="00000000">
      <w:pPr>
        <w:tabs>
          <w:tab w:val="left" w:pos="3600"/>
        </w:tabs>
        <w:spacing w:before="120" w:after="120" w:line="276" w:lineRule="auto"/>
        <w:ind w:firstLine="709"/>
        <w:jc w:val="both"/>
      </w:pPr>
      <w:r>
        <w:t>d) Lĩnh vực Giáo dục: Học sinh và Giáo viên bồi dưỡng Học sinh có thành tích đạt giải cao tại các kỳ thi cấp Quốc gia và Quốc tế; đạt Giải nhất tại các kỳ thi cấp Thành phố; cụ thể như: tặng Bằng khen kèm tiền thưởng cho các học sinh đạt giải Quốc tế, Quốc gia; mức thưởng: đạt giải Quốc tế được thưởng từ 50.000.000 đồng đến 200.000.000 đồng/01 học sinh, đạt giải Khu vực được thưởng từ 30.000.000 đồng đến 120.000.000 đồng/01 học sinh, đạt giải Quốc gia được thưởng từ 20.000.000 đồng đến 50.000.000 đồng/01 học sinh.</w:t>
      </w:r>
    </w:p>
    <w:p w:rsidR="00431FD8" w:rsidRDefault="00000000">
      <w:pPr>
        <w:tabs>
          <w:tab w:val="left" w:pos="3600"/>
        </w:tabs>
        <w:spacing w:before="120" w:after="120" w:line="276" w:lineRule="auto"/>
        <w:ind w:firstLine="709"/>
        <w:jc w:val="both"/>
      </w:pPr>
      <w:r>
        <w:t>đ) Lĩnh vực Y tế: Tập thể bác sĩ, kỹ thuật viên tham gia thực hiện chuẩn đoán chính xác, phẫu thuật kịp thời, thành công, tạo dấu ấn trong giới chuyên môn về sự phát triển ngành y tại Thành phố Chí Minh; cụ thể như: tặng Bằng khen kèm tiền thưởng cho ekip phẫu thuật tách rời hai bé song sinh liền nhau Trúc Nhi và Diệu Nhi; mức thưởng: 100.000.000 đồng.</w:t>
      </w:r>
    </w:p>
    <w:p w:rsidR="00431FD8" w:rsidRDefault="00000000">
      <w:pPr>
        <w:tabs>
          <w:tab w:val="left" w:pos="3600"/>
        </w:tabs>
        <w:spacing w:before="120" w:after="120" w:line="276" w:lineRule="auto"/>
        <w:ind w:firstLine="709"/>
        <w:jc w:val="both"/>
      </w:pPr>
      <w:r>
        <w:rPr>
          <w:spacing w:val="-4"/>
        </w:rPr>
        <w:t xml:space="preserve">e) Lĩnh vực Đầu tư - Tài chính: Các tập thể, cá nhân thành tích đóng góp tích cực vào kết quả thu - chi ngân sách </w:t>
      </w:r>
      <w:r>
        <w:rPr>
          <w:spacing w:val="-4"/>
          <w:lang w:val="vi-VN"/>
        </w:rPr>
        <w:t>hàng năm</w:t>
      </w:r>
      <w:r>
        <w:rPr>
          <w:spacing w:val="-4"/>
        </w:rPr>
        <w:t>; trong công tác giải ngân vốn đầu tư công; trong công tác thu thuế; có thành tích nổi bật trong sản xuất, kinh doanh và chấp hành các quy định pháp luật, đóng góp ngân sách, chuyển đổi số… góp phần cho sự phát triển kinh tế của Thành phố, cụ thể như: tặng Bằng khen kèm tiền thưởng cho các tập thể có thành tích hoàn thành xuất sắc công tác thu nộp ngân sách Nhà nước trên địa bàn Thành phố, góp phần đạt và vượt chỉ tiêu thu ngân sách Nhà nước; mức thưởng từ 10.000.000 đồng đến 50.000.000 đồng/01 tập thể.</w:t>
      </w:r>
    </w:p>
    <w:p w:rsidR="00431FD8" w:rsidRDefault="00000000">
      <w:pPr>
        <w:spacing w:before="120" w:after="120" w:line="276" w:lineRule="auto"/>
        <w:ind w:firstLine="709"/>
        <w:jc w:val="both"/>
      </w:pPr>
      <w:r>
        <w:tab/>
        <w:t xml:space="preserve">2.2. Kinh phí thực hiện khen thưởng trong những năm qua </w:t>
      </w:r>
      <w:r>
        <w:rPr>
          <w:i/>
          <w:iCs/>
        </w:rPr>
        <w:t>(Phụ lục 1)</w:t>
      </w:r>
    </w:p>
    <w:p w:rsidR="00431FD8" w:rsidRDefault="00000000">
      <w:pPr>
        <w:tabs>
          <w:tab w:val="left" w:pos="3600"/>
        </w:tabs>
        <w:spacing w:before="120" w:after="120" w:line="276" w:lineRule="auto"/>
        <w:ind w:firstLine="709"/>
        <w:jc w:val="both"/>
      </w:pPr>
      <w:r>
        <w:lastRenderedPageBreak/>
        <w:t xml:space="preserve">Tại Thành phố Hồ Chí Minh, từ tháng 3 năm 2021 trở về trước, ngoài lĩnh vực Giáo dục có quy định cụ thể về chính sách khuyến khích tại Quyết định số 162/2004/QĐ-UB ngày 02 tháng 7 năm 2004 của Ủy ban nhân dân Thành phố, thì Thành phố chưa có quy định mức chi khuyến khích đối với các tập thể, cá nhân đạt thành tích vượt trội và thành tích xuất sắc đột xuất; do vậy, chưa tạo được hành lang pháp lý chung đối với mức chi khuyến khích đối với các tập thể, cá nhân đạt thành tích vượt trội hoặc đặc biệt xuất sắc đột xuất. </w:t>
      </w:r>
    </w:p>
    <w:p w:rsidR="00431FD8" w:rsidRDefault="00000000">
      <w:pPr>
        <w:tabs>
          <w:tab w:val="left" w:pos="3600"/>
        </w:tabs>
        <w:spacing w:before="120" w:after="120" w:line="276" w:lineRule="auto"/>
        <w:ind w:firstLine="709"/>
        <w:jc w:val="both"/>
      </w:pPr>
      <w:r>
        <w:t>Xuất phát từ nhu cầu thực tiễn, một số ngành đã triển khai nghiên cứu, xây dựng chính sách khuyến khích, chính sách đặc thù áp dụng cho các đối tượng có thành tích vượt trội hoặc đặc biệt xuất sắc đột xuất và đã được Hội đồng nhân dân Thành phố thông qua, cụ thể:</w:t>
      </w:r>
    </w:p>
    <w:p w:rsidR="00431FD8" w:rsidRDefault="00000000">
      <w:pPr>
        <w:tabs>
          <w:tab w:val="left" w:pos="3600"/>
        </w:tabs>
        <w:spacing w:before="120" w:after="120" w:line="276" w:lineRule="auto"/>
        <w:ind w:firstLine="709"/>
        <w:jc w:val="both"/>
      </w:pPr>
      <w:r>
        <w:t>- Ngày 23 tháng 3 năm 2021, Hội đồng nhân dân Thành phố ban hành Nghị quyết số 02/2021/NQ-HĐND quy định một số khuyến khích giáo viên, học sinh, học viên đạt giải trong các kỳ thi cấp Thành phố, quốc gia, khu vực, quốc tế và giáo viên có thành tích đào tạo, bồi dưỡng các học sinh, học viên đoạt các giải trên địa bàn Thành phố Hồ Chí Minh.</w:t>
      </w:r>
    </w:p>
    <w:p w:rsidR="00431FD8" w:rsidRDefault="00000000">
      <w:pPr>
        <w:tabs>
          <w:tab w:val="left" w:pos="3600"/>
        </w:tabs>
        <w:spacing w:before="120" w:after="120" w:line="276" w:lineRule="auto"/>
        <w:ind w:firstLine="709"/>
        <w:jc w:val="both"/>
      </w:pPr>
      <w:r>
        <w:t>- Ngày 07 tháng 4 năm 2022, Hội đồng nhân dân Thành phố ban hành Nghị quyết số 05/2022/NQ-HĐND về một số chính sách đặc thù đối với huấn luyện viên, vận động viên của Thành phố Hồ Chí Minh.</w:t>
      </w:r>
    </w:p>
    <w:p w:rsidR="00431FD8" w:rsidRDefault="00000000">
      <w:pPr>
        <w:tabs>
          <w:tab w:val="left" w:pos="3600"/>
        </w:tabs>
        <w:spacing w:before="120" w:after="120" w:line="276" w:lineRule="auto"/>
        <w:ind w:firstLine="709"/>
        <w:jc w:val="both"/>
      </w:pPr>
      <w:r>
        <w:t>- Ngày 19 tháng 9 năm 2023, Hội đồng nhân dân Thành phố ban hành Nghị quyết quy định về nội dung chi và mức chi giải thưởng, cuộc thi, liên hoan, cuộc vận động sáng tác trên lĩnh vực văn học, nghệ thuật do Ủy ban nhân dân Thành phố tổ chức.</w:t>
      </w:r>
    </w:p>
    <w:p w:rsidR="00431FD8" w:rsidRDefault="00000000">
      <w:pPr>
        <w:tabs>
          <w:tab w:val="left" w:pos="3600"/>
        </w:tabs>
        <w:spacing w:before="120" w:after="120" w:line="276" w:lineRule="auto"/>
        <w:ind w:firstLine="709"/>
        <w:jc w:val="both"/>
      </w:pPr>
      <w:r>
        <w:t>Tuy nhiên, đối với một số thành tích vượt trội hoặc đặc biệt xuất sắc đột xuất chưa có quy định cụ thể mức chi khuyến khích cho các tập thể, cá nhân.</w:t>
      </w:r>
    </w:p>
    <w:p w:rsidR="00431FD8" w:rsidRDefault="00000000">
      <w:pPr>
        <w:spacing w:before="120" w:after="120" w:line="276" w:lineRule="auto"/>
        <w:ind w:firstLine="709"/>
        <w:jc w:val="both"/>
      </w:pPr>
      <w:r>
        <w:t xml:space="preserve">Với những lý do trên, việc </w:t>
      </w:r>
      <w:r>
        <w:rPr>
          <w:lang w:val="vi-VN"/>
        </w:rPr>
        <w:t>quy định cụ thể mức</w:t>
      </w:r>
      <w:r>
        <w:t xml:space="preserve"> thưởng thêm</w:t>
      </w:r>
      <w:r>
        <w:rPr>
          <w:lang w:val="vi-VN"/>
        </w:rPr>
        <w:t xml:space="preserve"> đối với </w:t>
      </w:r>
      <w:r>
        <w:t xml:space="preserve">các tập thể, cá nhân, hộ gia đình có thành tích vượt trội hoặc có </w:t>
      </w:r>
      <w:r>
        <w:rPr>
          <w:lang w:val="vi-VN"/>
        </w:rPr>
        <w:t>thành tích đột xuất trên địa bàn Thành phố Hồ Chí Minh</w:t>
      </w:r>
      <w:r>
        <w:t xml:space="preserve"> của Hội đồng nhân dân Thành phố</w:t>
      </w:r>
      <w:r>
        <w:rPr>
          <w:lang w:val="vi-VN"/>
        </w:rPr>
        <w:t xml:space="preserve"> Hồ Chí Minh</w:t>
      </w:r>
      <w:r>
        <w:t xml:space="preserve"> là cần thiết, phù hợp với các quy định pháp luật và điều kiện thực tế của Thành phố Hồ Chí Minh.</w:t>
      </w:r>
    </w:p>
    <w:p w:rsidR="00431FD8" w:rsidRDefault="00000000">
      <w:pPr>
        <w:spacing w:before="120" w:after="120" w:line="276" w:lineRule="auto"/>
        <w:ind w:firstLine="709"/>
        <w:jc w:val="both"/>
        <w:rPr>
          <w:b/>
        </w:rPr>
      </w:pPr>
      <w:r>
        <w:rPr>
          <w:b/>
        </w:rPr>
        <w:t>II. MỤC ĐÍCH BAN HÀNH, QUAN ĐIỂM XÂY DỰNG DỰ THẢO VĂN BẢN</w:t>
      </w:r>
    </w:p>
    <w:p w:rsidR="00431FD8" w:rsidRDefault="00000000">
      <w:pPr>
        <w:tabs>
          <w:tab w:val="center" w:pos="1364"/>
          <w:tab w:val="left" w:pos="3600"/>
          <w:tab w:val="center" w:pos="6231"/>
        </w:tabs>
        <w:spacing w:before="120" w:after="120" w:line="276" w:lineRule="auto"/>
        <w:ind w:firstLine="709"/>
        <w:jc w:val="both"/>
        <w:rPr>
          <w:b/>
        </w:rPr>
      </w:pPr>
      <w:r>
        <w:rPr>
          <w:b/>
        </w:rPr>
        <w:t>1. Mục đích ban hành văn bản</w:t>
      </w:r>
    </w:p>
    <w:p w:rsidR="00431FD8" w:rsidRDefault="00000000">
      <w:pPr>
        <w:tabs>
          <w:tab w:val="center" w:pos="1364"/>
          <w:tab w:val="left" w:pos="3600"/>
          <w:tab w:val="center" w:pos="6231"/>
        </w:tabs>
        <w:spacing w:before="120" w:after="120" w:line="276" w:lineRule="auto"/>
        <w:ind w:firstLine="709"/>
        <w:jc w:val="both"/>
        <w:rPr>
          <w:b/>
        </w:rPr>
      </w:pPr>
      <w:bookmarkStart w:id="6" w:name="_Hlk179962124"/>
      <w:r>
        <w:t xml:space="preserve">Quy định cụ thể mức thưởng thêm tạo cơ sở pháp lý để ban hành các văn bản pháp luật về khuyến khích, động viên đối với các tập thể, cá nhân có thành tích vượt trội hoặc đặc biệt xuất sắc đột xuất được kịp thời, tạo sự lan tỏa trong sự nghiệp xây </w:t>
      </w:r>
      <w:r>
        <w:lastRenderedPageBreak/>
        <w:t>dựng, bảo vệ Tổ quốc và góp phần thúc đẩy phát triển kinh tế - xã hội, quốc phòng - an ninh của Thành phố Hồ Chí Minh.</w:t>
      </w:r>
      <w:bookmarkEnd w:id="6"/>
    </w:p>
    <w:p w:rsidR="00431FD8" w:rsidRDefault="00000000">
      <w:pPr>
        <w:tabs>
          <w:tab w:val="center" w:pos="1364"/>
          <w:tab w:val="left" w:pos="3600"/>
          <w:tab w:val="center" w:pos="6231"/>
        </w:tabs>
        <w:spacing w:before="120" w:after="120" w:line="276" w:lineRule="auto"/>
        <w:ind w:firstLine="709"/>
        <w:jc w:val="both"/>
        <w:rPr>
          <w:b/>
        </w:rPr>
      </w:pPr>
      <w:r>
        <w:rPr>
          <w:b/>
        </w:rPr>
        <w:t>2. Quan điểm xây dựng văn bản</w:t>
      </w:r>
    </w:p>
    <w:p w:rsidR="00431FD8" w:rsidRDefault="00000000">
      <w:pPr>
        <w:spacing w:before="120" w:after="120" w:line="276" w:lineRule="auto"/>
        <w:ind w:firstLine="709"/>
        <w:jc w:val="both"/>
      </w:pPr>
      <w:bookmarkStart w:id="7" w:name="_Hlk179962266"/>
      <w:r>
        <w:t xml:space="preserve">Nghị quyết quy định mức thưởng thêm được xây dựng cụ thể, công khai, dân chủ, có ý kiến đóng góp của các sở, ngành có liên quan và trên cơ sở thực tiễn trong thời gian qua. </w:t>
      </w:r>
    </w:p>
    <w:p w:rsidR="00431FD8" w:rsidRDefault="00000000">
      <w:pPr>
        <w:spacing w:before="120" w:after="120" w:line="276" w:lineRule="auto"/>
        <w:ind w:firstLine="709"/>
        <w:jc w:val="both"/>
        <w:rPr>
          <w:spacing w:val="-2"/>
        </w:rPr>
      </w:pPr>
      <w:r>
        <w:rPr>
          <w:spacing w:val="-2"/>
        </w:rPr>
        <w:t xml:space="preserve">Việc </w:t>
      </w:r>
      <w:r>
        <w:rPr>
          <w:spacing w:val="-2"/>
          <w:lang w:val="vi-VN"/>
        </w:rPr>
        <w:t xml:space="preserve">quy định </w:t>
      </w:r>
      <w:r>
        <w:rPr>
          <w:spacing w:val="-2"/>
        </w:rPr>
        <w:t xml:space="preserve">chính sách khuyến khích, đặc thù áp dụng cho các đối tượng cụ thể, có thành tích vượt trội hoặc đặc biệt xuất </w:t>
      </w:r>
      <w:r>
        <w:rPr>
          <w:spacing w:val="-2"/>
          <w:lang w:val="vi-VN"/>
        </w:rPr>
        <w:t xml:space="preserve">sắc </w:t>
      </w:r>
      <w:r>
        <w:rPr>
          <w:spacing w:val="-2"/>
        </w:rPr>
        <w:t>theo</w:t>
      </w:r>
      <w:r>
        <w:rPr>
          <w:spacing w:val="-2"/>
          <w:lang w:val="vi-VN"/>
        </w:rPr>
        <w:t xml:space="preserve"> các lĩnh vực sẽ do các ngành xây dựng, trình Hội đồng nhân dân Thành phố xem</w:t>
      </w:r>
      <w:r>
        <w:rPr>
          <w:spacing w:val="-2"/>
        </w:rPr>
        <w:t xml:space="preserve"> xét, quyết định.</w:t>
      </w:r>
      <w:bookmarkEnd w:id="7"/>
    </w:p>
    <w:p w:rsidR="00431FD8" w:rsidRDefault="00000000">
      <w:pPr>
        <w:spacing w:before="120" w:after="120" w:line="276" w:lineRule="auto"/>
        <w:ind w:firstLine="709"/>
        <w:jc w:val="both"/>
        <w:rPr>
          <w:b/>
          <w:bCs/>
          <w:iCs/>
          <w:spacing w:val="-8"/>
          <w:lang w:val="vi-VN"/>
        </w:rPr>
      </w:pPr>
      <w:r>
        <w:rPr>
          <w:b/>
          <w:spacing w:val="-8"/>
        </w:rPr>
        <w:t>III. PHẠM VI ĐIỀU CHỈNH, ĐỐI TƯỢNG ÁP DỤNG CỦA VĂN BẢN</w:t>
      </w:r>
      <w:r>
        <w:rPr>
          <w:b/>
          <w:bCs/>
          <w:iCs/>
          <w:spacing w:val="-8"/>
          <w:lang w:val="vi-VN"/>
        </w:rPr>
        <w:t xml:space="preserve"> </w:t>
      </w:r>
    </w:p>
    <w:p w:rsidR="00431FD8" w:rsidRDefault="00000000">
      <w:pPr>
        <w:spacing w:before="120" w:after="120" w:line="276" w:lineRule="auto"/>
        <w:ind w:firstLine="709"/>
        <w:jc w:val="both"/>
        <w:rPr>
          <w:b/>
        </w:rPr>
      </w:pPr>
      <w:r>
        <w:rPr>
          <w:b/>
        </w:rPr>
        <w:t>1. Phạm vi điều chỉnh</w:t>
      </w:r>
    </w:p>
    <w:p w:rsidR="00431FD8" w:rsidRDefault="00000000">
      <w:pPr>
        <w:spacing w:before="120" w:after="120" w:line="276" w:lineRule="auto"/>
        <w:ind w:firstLine="709"/>
        <w:jc w:val="both"/>
      </w:pPr>
      <w:bookmarkStart w:id="8" w:name="_Hlk178847139"/>
      <w:bookmarkStart w:id="9" w:name="_Hlk178854569"/>
      <w:bookmarkStart w:id="10" w:name="_Hlk179962304"/>
      <w:r>
        <w:t xml:space="preserve">Quy định này quy định về đối tượng, mức thưởng thêm để động viên các tập thể, cá nhân, hộ gia đình có thành tích vượt trội hoặc đặc biệt xuất sắc đột xuất </w:t>
      </w:r>
      <w:bookmarkEnd w:id="8"/>
      <w:r>
        <w:t xml:space="preserve">theo </w:t>
      </w:r>
      <w:bookmarkStart w:id="11" w:name="_Hlk179970913"/>
      <w:r>
        <w:t xml:space="preserve">điểm b khoản 1 Điều 11 </w:t>
      </w:r>
      <w:bookmarkEnd w:id="11"/>
      <w:r>
        <w:t>Nghị định số 84/2024/NĐ-CP ngày 10 tháng 7 năm 2024 của Chính phủ về thí điểm phân cấp quản lý nhà nước một số lĩnh vực cho chính quyền Thành phố Hồ Chí Minh</w:t>
      </w:r>
      <w:bookmarkEnd w:id="9"/>
      <w:r>
        <w:t>.</w:t>
      </w:r>
      <w:bookmarkEnd w:id="10"/>
    </w:p>
    <w:p w:rsidR="00431FD8" w:rsidRDefault="00000000">
      <w:pPr>
        <w:spacing w:before="120" w:after="120" w:line="276" w:lineRule="auto"/>
        <w:ind w:firstLine="709"/>
        <w:jc w:val="both"/>
        <w:rPr>
          <w:b/>
        </w:rPr>
      </w:pPr>
      <w:r>
        <w:rPr>
          <w:b/>
        </w:rPr>
        <w:t>2. Đối tượng áp dụng</w:t>
      </w:r>
    </w:p>
    <w:p w:rsidR="00431FD8" w:rsidRDefault="00000000">
      <w:pPr>
        <w:spacing w:before="120" w:after="120" w:line="276" w:lineRule="auto"/>
        <w:ind w:firstLine="709"/>
        <w:jc w:val="both"/>
      </w:pPr>
      <w:bookmarkStart w:id="12" w:name="_Hlk178847163"/>
      <w:bookmarkStart w:id="13" w:name="_Hlk179962324"/>
      <w:bookmarkStart w:id="14" w:name="_Hlk180312700"/>
      <w:r>
        <w:rPr>
          <w:lang w:val="vi-VN"/>
        </w:rPr>
        <w:t xml:space="preserve">Quy định này được áp dụng </w:t>
      </w:r>
      <w:r>
        <w:t>cho</w:t>
      </w:r>
    </w:p>
    <w:p w:rsidR="00431FD8" w:rsidRDefault="00000000">
      <w:pPr>
        <w:spacing w:before="120" w:after="120" w:line="276" w:lineRule="auto"/>
        <w:ind w:firstLine="709"/>
        <w:jc w:val="both"/>
      </w:pPr>
      <w:r>
        <w:t>a) Các cá nhân là người Việt Nam đang làm việc tại các cơ quan, đơn vị, địa phương thuộc Thành phố Hồ Chí Minh đạt giải thưởng, danh hiệu vinh dự được Đảng và Nhà nước</w:t>
      </w:r>
      <w:r>
        <w:rPr>
          <w:b/>
          <w:bCs/>
        </w:rPr>
        <w:t xml:space="preserve"> </w:t>
      </w:r>
      <w:r>
        <w:t>trao tặng.</w:t>
      </w:r>
    </w:p>
    <w:p w:rsidR="00431FD8" w:rsidRDefault="00000000">
      <w:pPr>
        <w:spacing w:before="120" w:after="120" w:line="276" w:lineRule="auto"/>
        <w:ind w:firstLine="709"/>
        <w:jc w:val="both"/>
        <w:rPr>
          <w:spacing w:val="-2"/>
        </w:rPr>
      </w:pPr>
      <w:r>
        <w:t>b</w:t>
      </w:r>
      <w:r>
        <w:rPr>
          <w:spacing w:val="-2"/>
        </w:rPr>
        <w:t>) Các tập thể, cá nhân, hộ gia đình có thành tích vượt trội hoặc đặc biệt xuất sắc đột xuất trong sự nghiệp xây dựng, bảo vệ Tổ quốc và góp phần thúc đẩy phát triển kinh tế - xã hội, quốc phòng - an ninh của Thành phố Hồ Chí Minh</w:t>
      </w:r>
      <w:bookmarkEnd w:id="12"/>
      <w:r>
        <w:rPr>
          <w:spacing w:val="-2"/>
        </w:rPr>
        <w:t>.</w:t>
      </w:r>
    </w:p>
    <w:p w:rsidR="00431FD8" w:rsidRDefault="00000000">
      <w:pPr>
        <w:spacing w:before="120" w:after="120" w:line="276" w:lineRule="auto"/>
        <w:ind w:firstLine="709"/>
        <w:jc w:val="both"/>
      </w:pPr>
      <w:r>
        <w:rPr>
          <w:lang w:val="vi-VN"/>
        </w:rPr>
        <w:t>Quy định này không</w:t>
      </w:r>
      <w:r>
        <w:t xml:space="preserve"> áp dụng đối với tập thể, cá nhân, hộ gia đình đã hưởng chính sách khuyến khích, chính sách đặc thù theo ngành, lĩnh vực </w:t>
      </w:r>
      <w:bookmarkEnd w:id="13"/>
      <w:r>
        <w:t>của Thành phố hoặc các chính sách của Bộ - ngành Trung ương, của tỉnh, thành phố trực thuộc Trung ương khác.</w:t>
      </w:r>
    </w:p>
    <w:p w:rsidR="00431FD8" w:rsidRDefault="00000000">
      <w:pPr>
        <w:spacing w:before="120" w:after="120" w:line="276" w:lineRule="auto"/>
        <w:ind w:firstLine="709"/>
        <w:jc w:val="both"/>
        <w:rPr>
          <w:b/>
        </w:rPr>
      </w:pPr>
      <w:bookmarkStart w:id="15" w:name="_Hlk180312653"/>
      <w:bookmarkStart w:id="16" w:name="_Hlk179962357"/>
      <w:bookmarkEnd w:id="14"/>
      <w:r>
        <w:rPr>
          <w:b/>
        </w:rPr>
        <w:t xml:space="preserve">3. Mức thưởng thêm </w:t>
      </w:r>
      <w:r>
        <w:rPr>
          <w:i/>
          <w:iCs/>
        </w:rPr>
        <w:t>(tính theo mức lương cơ sở: 2.340.000 đồng)</w:t>
      </w:r>
    </w:p>
    <w:p w:rsidR="00431FD8" w:rsidRDefault="00000000">
      <w:pPr>
        <w:spacing w:before="120" w:after="120" w:line="276" w:lineRule="auto"/>
        <w:ind w:firstLine="709"/>
        <w:jc w:val="both"/>
      </w:pPr>
      <w:bookmarkStart w:id="17" w:name="_Hlk179970706"/>
      <w:bookmarkStart w:id="18" w:name="_Hlk179964217"/>
      <w:bookmarkEnd w:id="15"/>
      <w:r>
        <w:t>Các tập thể, cá nhân, hộ gia đình ngoài mức tiền thưởng được hưởng theo quy định tại Nghị định số 98/2023/NĐ-CP ngày 31 tháng 12 năm 2023 của Chính phủ được nhận mức thưởng thêm như sau</w:t>
      </w:r>
      <w:bookmarkEnd w:id="17"/>
      <w:r>
        <w:t>:</w:t>
      </w:r>
      <w:bookmarkEnd w:id="18"/>
    </w:p>
    <w:p w:rsidR="00431FD8" w:rsidRDefault="00000000">
      <w:pPr>
        <w:spacing w:before="120" w:after="120" w:line="276" w:lineRule="auto"/>
        <w:ind w:firstLine="709"/>
        <w:jc w:val="both"/>
        <w:rPr>
          <w:b/>
          <w:bCs/>
        </w:rPr>
      </w:pPr>
      <w:r>
        <w:rPr>
          <w:b/>
          <w:bCs/>
        </w:rPr>
        <w:t>3.1. Đối với thành tích vượt trội</w:t>
      </w:r>
    </w:p>
    <w:p w:rsidR="00431FD8" w:rsidRDefault="00000000">
      <w:pPr>
        <w:spacing w:before="120" w:after="120" w:line="276" w:lineRule="auto"/>
        <w:ind w:firstLine="709"/>
        <w:jc w:val="both"/>
      </w:pPr>
      <w:r>
        <w:t>a) Đối với cá nhân</w:t>
      </w:r>
    </w:p>
    <w:p w:rsidR="00431FD8" w:rsidRDefault="00000000">
      <w:pPr>
        <w:spacing w:before="120" w:after="120" w:line="276" w:lineRule="auto"/>
        <w:ind w:firstLine="709"/>
        <w:jc w:val="both"/>
        <w:rPr>
          <w:i/>
          <w:iCs/>
        </w:rPr>
      </w:pPr>
      <w:r>
        <w:lastRenderedPageBreak/>
        <w:t xml:space="preserve">- Đạt Giải thưởng Hồ Chí Minh: Thưởng thêm 200 lần mức lương cơ sở (trị giá 468.000.000 đồng). </w:t>
      </w:r>
      <w:r>
        <w:rPr>
          <w:i/>
          <w:iCs/>
        </w:rPr>
        <w:t>(mức thưởng theo Nghị định số 98/2023/NĐ-CP: 486.000.000 đồng/01 cá nhân)</w:t>
      </w:r>
    </w:p>
    <w:p w:rsidR="00431FD8" w:rsidRDefault="00000000">
      <w:pPr>
        <w:spacing w:before="120" w:after="120" w:line="276" w:lineRule="auto"/>
        <w:ind w:firstLine="709"/>
        <w:jc w:val="both"/>
        <w:rPr>
          <w:i/>
          <w:iCs/>
        </w:rPr>
      </w:pPr>
      <w:r>
        <w:t xml:space="preserve">- Đạt Giải thưởng Nhà nước: Thưởng thêm 150 lần mức lương cơ sở (trị giá 351.000.000 đồng). </w:t>
      </w:r>
      <w:r>
        <w:rPr>
          <w:i/>
          <w:iCs/>
        </w:rPr>
        <w:t>(mức thưởng theo Nghị định số 98/2023/NĐ-CP: Giải thưởng Nhà nước 306.000.000đ/01 cá nhân)</w:t>
      </w:r>
    </w:p>
    <w:p w:rsidR="00431FD8" w:rsidRDefault="00000000">
      <w:pPr>
        <w:spacing w:before="120" w:after="120" w:line="276" w:lineRule="auto"/>
        <w:ind w:firstLine="709"/>
        <w:jc w:val="both"/>
        <w:rPr>
          <w:i/>
          <w:iCs/>
        </w:rPr>
      </w:pPr>
      <w:r>
        <w:t xml:space="preserve">- Đạt danh hiệu Anh hùng Lực lượng vũ trang nhân dân, Anh hùng Lao động: Thưởng thêm 15 lần mức lương cơ sở (trị giá 35.100.000 đồng). </w:t>
      </w:r>
      <w:r>
        <w:rPr>
          <w:i/>
          <w:iCs/>
        </w:rPr>
        <w:t>(mức thưởng theo Nghị định số 98/2023/NĐ-CP: 27.900.000 đồng/01 cá nhân)</w:t>
      </w:r>
    </w:p>
    <w:p w:rsidR="00431FD8" w:rsidRDefault="00000000">
      <w:pPr>
        <w:spacing w:before="120" w:after="120" w:line="276" w:lineRule="auto"/>
        <w:ind w:firstLine="709"/>
        <w:jc w:val="both"/>
      </w:pPr>
      <w:r>
        <w:t xml:space="preserve">- Đạt danh hiệu Nhà giáo Nhân dân, Thầy thuốc Nhân dân, Nghệ sĩ Nhân dân, Nghệ nhân Nhân dân: Thưởng thêm 10 lần mức lương cơ sở (trị giá 23.400.000 đồng). </w:t>
      </w:r>
      <w:r>
        <w:rPr>
          <w:i/>
          <w:iCs/>
        </w:rPr>
        <w:t>(mức thưởng theo Nghị định số 98/2023/NĐ-CP: 22.500.000 đồng/01 cá nhân)</w:t>
      </w:r>
    </w:p>
    <w:p w:rsidR="00431FD8" w:rsidRDefault="00000000">
      <w:pPr>
        <w:spacing w:before="120" w:after="120" w:line="276" w:lineRule="auto"/>
        <w:ind w:firstLine="709"/>
        <w:jc w:val="both"/>
      </w:pPr>
      <w:r>
        <w:t xml:space="preserve">- Đạt danh hiệu Chiến sĩ thi đua Toàn quốc: Thưởng thêm 5 lần mức lương cơ sở (trị giá 11.700.000 đồng). </w:t>
      </w:r>
      <w:r>
        <w:rPr>
          <w:i/>
          <w:iCs/>
        </w:rPr>
        <w:t>(mức thưởng theo Nghị định số 98/2023/NĐ-CP: 8.100.000 đồng/01 cá nhân)</w:t>
      </w:r>
    </w:p>
    <w:p w:rsidR="00431FD8" w:rsidRDefault="00000000">
      <w:pPr>
        <w:spacing w:before="120" w:after="120" w:line="276" w:lineRule="auto"/>
        <w:ind w:firstLine="709"/>
        <w:jc w:val="both"/>
        <w:rPr>
          <w:i/>
          <w:iCs/>
        </w:rPr>
      </w:pPr>
      <w:r>
        <w:t xml:space="preserve">b) Đối với tập thể </w:t>
      </w:r>
      <w:r>
        <w:rPr>
          <w:i/>
          <w:iCs/>
        </w:rPr>
        <w:t>(mức thưởng Bằng khen của Chủ tịch Ủy ban nhân dân Thành phố theo Nghị định số 98/2023/NĐ-CP: 7.200.000 đồng/01 tập thể)</w:t>
      </w:r>
    </w:p>
    <w:p w:rsidR="00431FD8" w:rsidRDefault="00000000">
      <w:pPr>
        <w:spacing w:before="120" w:after="120" w:line="276" w:lineRule="auto"/>
        <w:ind w:firstLine="709"/>
        <w:jc w:val="both"/>
        <w:rPr>
          <w:i/>
          <w:iCs/>
          <w:spacing w:val="-6"/>
        </w:rPr>
      </w:pPr>
      <w:r>
        <w:rPr>
          <w:spacing w:val="-6"/>
        </w:rPr>
        <w:t xml:space="preserve">- Tập thể hoàn thành xuất sắc toàn diện nhiệm vụ công tác, dẫn đầu phong trào thi đua yêu nước năm của Thành phố, được Thủ tướng Chính phủ tặng Cờ thi đua của Chính phủ: Thưởng thêm 10 lần mức lương cơ sở (trị giá 23.400.000 đồng). </w:t>
      </w:r>
      <w:r>
        <w:rPr>
          <w:i/>
          <w:iCs/>
          <w:spacing w:val="-6"/>
        </w:rPr>
        <w:t>(mức thưởng theo Nghị định số 98/2023/NĐ-CP: 21.600.000 đồng/01 tập thể)</w:t>
      </w:r>
    </w:p>
    <w:p w:rsidR="00431FD8" w:rsidRDefault="00000000">
      <w:pPr>
        <w:spacing w:before="120" w:after="120" w:line="276" w:lineRule="auto"/>
        <w:ind w:firstLine="709"/>
        <w:jc w:val="both"/>
      </w:pPr>
      <w:r>
        <w:t>- Tập thể có thành tích xuất sắc hoàn thành và vượt chỉ tiêu được giao tại các Nghị quyết Hội đồng nhân dân Thành phố về phát triển kinh tế - xã hội, đảm bảo quốc phòng - an ninh, cơ chế chính sách đặc thù, đáp ứng tình hình thực tiễn giao hằng năm:</w:t>
      </w:r>
    </w:p>
    <w:p w:rsidR="00431FD8" w:rsidRDefault="00000000">
      <w:pPr>
        <w:spacing w:before="120" w:after="120" w:line="276" w:lineRule="auto"/>
        <w:ind w:firstLine="709"/>
        <w:jc w:val="both"/>
      </w:pPr>
      <w:r>
        <w:t>+ Vượt từ 01% đến dưới 10%: Thưởng thêm 05 lần mức lương cơ sở (trị giá 11.700.000 đồng).</w:t>
      </w:r>
    </w:p>
    <w:p w:rsidR="00431FD8" w:rsidRDefault="00000000">
      <w:pPr>
        <w:spacing w:before="120" w:after="120" w:line="276" w:lineRule="auto"/>
        <w:ind w:firstLine="709"/>
        <w:jc w:val="both"/>
      </w:pPr>
      <w:r>
        <w:t>+ Vượt từ 10% đến dưới 20%: Thưởng thêm 10 lần mức lương cơ sở (trị giá 23.400.000 đồng).</w:t>
      </w:r>
    </w:p>
    <w:p w:rsidR="00431FD8" w:rsidRDefault="00000000">
      <w:pPr>
        <w:spacing w:before="120" w:after="120" w:line="276" w:lineRule="auto"/>
        <w:ind w:firstLine="709"/>
        <w:jc w:val="both"/>
      </w:pPr>
      <w:r>
        <w:t>+ Vượt từ 20% trở lên: Thưởng thêm 20 lần mức lương cơ sở (trị giá 46.800.000 đồng).</w:t>
      </w:r>
    </w:p>
    <w:p w:rsidR="00431FD8" w:rsidRDefault="00000000">
      <w:pPr>
        <w:spacing w:before="120" w:after="120" w:line="276" w:lineRule="auto"/>
        <w:ind w:firstLine="709"/>
        <w:jc w:val="both"/>
      </w:pPr>
      <w:r>
        <w:t>- Tập thể hoàn thành xuất sắc nhiệm vụ thu ngân sách năm:</w:t>
      </w:r>
    </w:p>
    <w:p w:rsidR="00431FD8" w:rsidRDefault="00000000">
      <w:pPr>
        <w:spacing w:before="120" w:after="120" w:line="276" w:lineRule="auto"/>
        <w:ind w:firstLine="709"/>
        <w:jc w:val="both"/>
      </w:pPr>
      <w:r>
        <w:t>+ Sở, ngành hoàn thành xuất sắc nhiệm vụ thu ngân sách năm: Thưởng thêm 20 lần mức lương cơ sở (trị giá 46.800.000 đồng).</w:t>
      </w:r>
    </w:p>
    <w:p w:rsidR="00431FD8" w:rsidRDefault="00000000">
      <w:pPr>
        <w:spacing w:before="120" w:after="120" w:line="276" w:lineRule="auto"/>
        <w:ind w:firstLine="709"/>
        <w:jc w:val="both"/>
      </w:pPr>
      <w:bookmarkStart w:id="19" w:name="_Hlk179963847"/>
      <w:r>
        <w:lastRenderedPageBreak/>
        <w:t>+ Thành phố Thủ Đức và các quận, huyện có số thu vượt từ 01% đến dưới 10%: Thưởng thêm 05 lần mức lương cơ sở (trị giá 11.700.000 đồng).</w:t>
      </w:r>
    </w:p>
    <w:p w:rsidR="00431FD8" w:rsidRDefault="00000000">
      <w:pPr>
        <w:spacing w:before="120" w:after="120" w:line="276" w:lineRule="auto"/>
        <w:ind w:firstLine="709"/>
        <w:jc w:val="both"/>
      </w:pPr>
      <w:r>
        <w:t>+ Thành phố Thủ Đức và các quận, huyện có số thu vượt từ 10% đến dưới 20%: Thưởng thêm 10 lần mức lương cơ sở (trị giá 23.400.000 đồng).</w:t>
      </w:r>
    </w:p>
    <w:p w:rsidR="00431FD8" w:rsidRDefault="00000000">
      <w:pPr>
        <w:spacing w:before="120" w:after="120" w:line="276" w:lineRule="auto"/>
        <w:ind w:firstLine="709"/>
        <w:jc w:val="both"/>
      </w:pPr>
      <w:r>
        <w:t>+ Thành phố Thủ Đức và các quận, huyện có số thu vượt từ 20% trở lên: Thưởng thêm 20 lần mức lương cơ sở (trị giá 46.800.000 đồng).</w:t>
      </w:r>
    </w:p>
    <w:p w:rsidR="00431FD8" w:rsidRDefault="00000000">
      <w:pPr>
        <w:spacing w:before="120" w:after="120" w:line="276" w:lineRule="auto"/>
        <w:ind w:firstLine="709"/>
        <w:jc w:val="both"/>
      </w:pPr>
      <w:r>
        <w:t>- Doanh nghiệp có số nộp ngân sách nhà nước năm:</w:t>
      </w:r>
    </w:p>
    <w:p w:rsidR="00431FD8" w:rsidRDefault="00000000">
      <w:pPr>
        <w:spacing w:before="120" w:after="120" w:line="276" w:lineRule="auto"/>
        <w:ind w:firstLine="709"/>
        <w:jc w:val="both"/>
      </w:pPr>
      <w:r>
        <w:t>+ Từ 500 tỷ đồng đến dưới 1.000 tỷ đồng: Thưởng thêm 5 lần mức lương cơ sở (trị giá 11.700.000 đồng).</w:t>
      </w:r>
    </w:p>
    <w:p w:rsidR="00431FD8" w:rsidRDefault="00000000">
      <w:pPr>
        <w:spacing w:before="120" w:after="120" w:line="276" w:lineRule="auto"/>
        <w:ind w:firstLine="709"/>
        <w:jc w:val="both"/>
      </w:pPr>
      <w:r>
        <w:t>+ Từ 1.000 tỷ đồng trở lên: Thưởng thêm 20 lần mức lương cơ sở (trị giá 46.800.000 đồng).</w:t>
      </w:r>
    </w:p>
    <w:p w:rsidR="00431FD8" w:rsidRDefault="00000000">
      <w:pPr>
        <w:spacing w:before="120" w:after="120" w:line="276" w:lineRule="auto"/>
        <w:ind w:firstLine="709"/>
        <w:jc w:val="both"/>
      </w:pPr>
      <w:r>
        <w:t>- Tập thể có thành tích hoàn thành xuất sắc trong công tác giải ngân vốn đầu tư công hằng năm được thưởng thêm 20 lần mức lương cơ sở (trị giá 46.800.000 đồng) đối với các trường hợp sau:</w:t>
      </w:r>
    </w:p>
    <w:p w:rsidR="00431FD8" w:rsidRDefault="00000000">
      <w:pPr>
        <w:spacing w:before="120" w:after="120" w:line="276" w:lineRule="auto"/>
        <w:ind w:firstLine="709"/>
        <w:jc w:val="both"/>
      </w:pPr>
      <w:r>
        <w:t>+ Đơn vị không thực hiện giải chi bồi thường giải phóng mặt bằng: có Tỷ lệ giải ngân trên 95% đối với vốn giao trên 100 tỷ đồng trở lên.</w:t>
      </w:r>
    </w:p>
    <w:p w:rsidR="00431FD8" w:rsidRDefault="00000000">
      <w:pPr>
        <w:spacing w:before="120" w:after="120" w:line="276" w:lineRule="auto"/>
        <w:ind w:firstLine="709"/>
        <w:jc w:val="both"/>
      </w:pPr>
      <w:r>
        <w:t>+ Đơn vị thực hiện giải chi bồi thường giải phóng mặt bằng: có Tỷ lệ giải ngân trên 95% đối với vốn giao trên 100 tỷ đồng trở lên và giải chi bồi thường giải phóng mặt bằng trên 80% vốn được giao.</w:t>
      </w:r>
    </w:p>
    <w:bookmarkEnd w:id="19"/>
    <w:p w:rsidR="00431FD8" w:rsidRDefault="00000000">
      <w:pPr>
        <w:spacing w:before="120" w:after="120" w:line="276" w:lineRule="auto"/>
        <w:ind w:firstLine="709"/>
        <w:jc w:val="both"/>
        <w:rPr>
          <w:b/>
          <w:bCs/>
        </w:rPr>
      </w:pPr>
      <w:r>
        <w:rPr>
          <w:b/>
          <w:bCs/>
        </w:rPr>
        <w:t>3.2. Đối với thành tích đặc biệt xuất sắc đột xuất</w:t>
      </w:r>
    </w:p>
    <w:p w:rsidR="00431FD8" w:rsidRDefault="00000000">
      <w:pPr>
        <w:spacing w:before="120" w:after="120" w:line="276" w:lineRule="auto"/>
        <w:ind w:firstLine="709"/>
        <w:jc w:val="both"/>
      </w:pPr>
      <w:r>
        <w:t>Tập thể, cá nhân, hộ gia đình có thành tích dũng cảm cứu người, cứu tài sản của Nhân dân, của Nhà nước hoặc trong chiến đấu, phục vụ chiến đấu hoặc lập được thành tích đặc biệt xuất sắc trong các lĩnh vực kinh tế xã hội, văn hóa, thể thao, y tế và các lĩnh vực khác ở trong nước hoặc khu vực, thế giới:</w:t>
      </w:r>
    </w:p>
    <w:p w:rsidR="00431FD8" w:rsidRDefault="00000000">
      <w:pPr>
        <w:spacing w:before="120" w:after="120" w:line="276" w:lineRule="auto"/>
        <w:ind w:firstLine="709"/>
        <w:jc w:val="both"/>
      </w:pPr>
      <w:r>
        <w:t xml:space="preserve">a) Đối với cá nhân </w:t>
      </w:r>
      <w:r>
        <w:rPr>
          <w:i/>
          <w:iCs/>
        </w:rPr>
        <w:t>(mức thưởng Bằng khen của Chủ tịch Ủy ban nhân dân Thành phố theo Nghị định số 98/2023/NĐ-CP: 3.100.000 đồng/01 cá nhân)</w:t>
      </w:r>
    </w:p>
    <w:p w:rsidR="00431FD8" w:rsidRDefault="00000000">
      <w:pPr>
        <w:spacing w:before="120" w:after="120" w:line="276" w:lineRule="auto"/>
        <w:ind w:firstLine="709"/>
        <w:jc w:val="both"/>
      </w:pPr>
      <w:r>
        <w:t>- Có hành động dũng cảm cứu người, cứu tài sản của Nhân dân, của Nhà nước: Thưởng thêm 10 lần mức lương cơ sở (trị giá 23.400.000 đồng).</w:t>
      </w:r>
    </w:p>
    <w:p w:rsidR="00431FD8" w:rsidRDefault="00000000">
      <w:pPr>
        <w:spacing w:before="120" w:after="120" w:line="276" w:lineRule="auto"/>
        <w:ind w:firstLine="709"/>
        <w:jc w:val="both"/>
      </w:pPr>
      <w:r>
        <w:t>- Có hành động dũng cảm trong chiến đấu, phục vụ chiến đấu: Thưởng thêm 20 lần mức lương cơ sở (trị giá 46.800.000 đồng).</w:t>
      </w:r>
    </w:p>
    <w:p w:rsidR="00431FD8" w:rsidRDefault="00000000">
      <w:pPr>
        <w:spacing w:before="120" w:after="120" w:line="276" w:lineRule="auto"/>
        <w:ind w:firstLine="709"/>
        <w:jc w:val="both"/>
        <w:rPr>
          <w:iCs/>
        </w:rPr>
      </w:pPr>
      <w:r>
        <w:rPr>
          <w:bCs/>
          <w:iCs/>
        </w:rPr>
        <w:t xml:space="preserve">- Đạt thành tích đặc biệt xuất sắc đột xuất </w:t>
      </w:r>
      <w:r>
        <w:rPr>
          <w:iCs/>
        </w:rPr>
        <w:t xml:space="preserve">trong các lĩnh vực kinh tế xã hội, quốc phòng - an ninh và các lĩnh vực khác: </w:t>
      </w:r>
    </w:p>
    <w:p w:rsidR="00431FD8" w:rsidRDefault="00000000">
      <w:pPr>
        <w:spacing w:before="120" w:after="120" w:line="276" w:lineRule="auto"/>
        <w:ind w:firstLine="709"/>
        <w:jc w:val="both"/>
      </w:pPr>
      <w:bookmarkStart w:id="20" w:name="_Hlk180419629"/>
      <w:r>
        <w:rPr>
          <w:iCs/>
        </w:rPr>
        <w:t>+ Thành tích đạt được ở t</w:t>
      </w:r>
      <w:r>
        <w:rPr>
          <w:bCs/>
          <w:iCs/>
        </w:rPr>
        <w:t>rong nước</w:t>
      </w:r>
      <w:r>
        <w:t>: Thưởng thêm 05 lần mức lương cơ sở (trị giá 11.700.000 đồng).</w:t>
      </w:r>
    </w:p>
    <w:p w:rsidR="00431FD8" w:rsidRDefault="00000000">
      <w:pPr>
        <w:spacing w:before="120" w:after="120" w:line="276" w:lineRule="auto"/>
        <w:ind w:firstLine="709"/>
        <w:jc w:val="both"/>
        <w:rPr>
          <w:bCs/>
          <w:iCs/>
        </w:rPr>
      </w:pPr>
      <w:r>
        <w:rPr>
          <w:bCs/>
          <w:iCs/>
        </w:rPr>
        <w:lastRenderedPageBreak/>
        <w:t xml:space="preserve">+ </w:t>
      </w:r>
      <w:r>
        <w:rPr>
          <w:iCs/>
        </w:rPr>
        <w:t>Thành tích đạt được ở</w:t>
      </w:r>
      <w:r>
        <w:rPr>
          <w:bCs/>
          <w:iCs/>
        </w:rPr>
        <w:t xml:space="preserve"> khu vực</w:t>
      </w:r>
      <w:r>
        <w:t>: Thưởng thêm 10 lần mức lương cơ sở (trị giá 23.400.000 đồng).</w:t>
      </w:r>
      <w:r>
        <w:rPr>
          <w:bCs/>
          <w:iCs/>
        </w:rPr>
        <w:t xml:space="preserve"> </w:t>
      </w:r>
    </w:p>
    <w:p w:rsidR="00431FD8" w:rsidRDefault="00000000">
      <w:pPr>
        <w:spacing w:before="120" w:after="120" w:line="276" w:lineRule="auto"/>
        <w:ind w:firstLine="709"/>
        <w:jc w:val="both"/>
        <w:rPr>
          <w:b/>
          <w:bCs/>
        </w:rPr>
      </w:pPr>
      <w:r>
        <w:rPr>
          <w:bCs/>
          <w:iCs/>
        </w:rPr>
        <w:t xml:space="preserve">+ </w:t>
      </w:r>
      <w:r>
        <w:rPr>
          <w:iCs/>
        </w:rPr>
        <w:t>Thành tích đạt được ở</w:t>
      </w:r>
      <w:r>
        <w:rPr>
          <w:bCs/>
          <w:iCs/>
        </w:rPr>
        <w:t xml:space="preserve"> thế giới</w:t>
      </w:r>
      <w:r>
        <w:t>: Thưởng thêm 20 lần mức lương cơ sở (trị giá 46.800.000 đồng).</w:t>
      </w:r>
    </w:p>
    <w:bookmarkEnd w:id="20"/>
    <w:p w:rsidR="00431FD8" w:rsidRDefault="00000000">
      <w:pPr>
        <w:spacing w:before="120" w:after="120" w:line="276" w:lineRule="auto"/>
        <w:ind w:firstLine="709"/>
        <w:jc w:val="both"/>
      </w:pPr>
      <w:r>
        <w:t>b) Tập thể đạt thành tích đặc biệt xuất sắc đột xuất được nhận mức thưởng thêm gấp hai lần mức thưởng thêm đối với cá nhân</w:t>
      </w:r>
      <w:bookmarkStart w:id="21" w:name="_Hlk179963468"/>
      <w:bookmarkEnd w:id="16"/>
      <w:r>
        <w:t>.</w:t>
      </w:r>
    </w:p>
    <w:p w:rsidR="00431FD8" w:rsidRDefault="00000000">
      <w:pPr>
        <w:spacing w:before="120" w:after="120" w:line="276" w:lineRule="auto"/>
        <w:ind w:firstLine="709"/>
        <w:jc w:val="both"/>
      </w:pPr>
      <w:r>
        <w:t>c) Hộ gia đình đạt thành tích đặc biệt xuất sắc đột xuất được nhận mức thưởng thêm gấp 1,5 lần mức thưởng thêm đối với cá nhân.</w:t>
      </w:r>
      <w:bookmarkEnd w:id="21"/>
    </w:p>
    <w:p w:rsidR="00431FD8" w:rsidRDefault="00000000">
      <w:pPr>
        <w:spacing w:before="120" w:after="120" w:line="276" w:lineRule="auto"/>
        <w:ind w:firstLine="709"/>
        <w:jc w:val="both"/>
        <w:rPr>
          <w:b/>
        </w:rPr>
      </w:pPr>
      <w:r>
        <w:rPr>
          <w:b/>
        </w:rPr>
        <w:t>IV. MỤC TIÊU, NỘI DUNG CỦA CHÍNH SÁCH, GIẢI PHÁP THỰC HIỆN CHÍNH SÁCH TRONG ĐỀ NGHỊ XÂY DỰNG VĂN BẢN</w:t>
      </w:r>
    </w:p>
    <w:p w:rsidR="00431FD8" w:rsidRDefault="00000000">
      <w:pPr>
        <w:spacing w:before="120" w:after="120" w:line="276" w:lineRule="auto"/>
        <w:ind w:firstLine="709"/>
        <w:jc w:val="both"/>
      </w:pPr>
      <w:bookmarkStart w:id="22" w:name="_Hlk179962399"/>
      <w:r>
        <w:rPr>
          <w:b/>
          <w:bCs/>
        </w:rPr>
        <w:t xml:space="preserve">1. </w:t>
      </w:r>
      <w:r>
        <w:t>Mục tiêu của chính sách: tạo chính sách khuyến khích, kịp thời động viên đối với các tập thể, cá nhân, hộ gia đình có thành tích vượt trội hoặc thành tích đặc biệt xuất sắc đột xuất trong sự nghiệp xây dựng, bảo vệ Tổ quốc và góp phần thúc đẩy phát triển kinh tế - xã hội, quốc phòng - an ninh của Thành phố Hồ Chí Minh.</w:t>
      </w:r>
    </w:p>
    <w:p w:rsidR="00431FD8" w:rsidRDefault="00000000">
      <w:pPr>
        <w:spacing w:before="120" w:after="120" w:line="276" w:lineRule="auto"/>
        <w:ind w:firstLine="709"/>
        <w:jc w:val="both"/>
      </w:pPr>
      <w:r>
        <w:rPr>
          <w:b/>
          <w:bCs/>
        </w:rPr>
        <w:t xml:space="preserve">2. </w:t>
      </w:r>
      <w:r>
        <w:t>Nội dung chính sách: quy định cụ thể mức thưởng thêm đối với tập thể, cá nhân, hộ gia đình lập thành tích vượt trội hoặc thành tích đặc biệt xuất sắc đột xuất trên địa bàn Thành phố Hồ Chí Minh trong các lĩnh vực: an ninh - quốc phòng, văn hóa - nghệ thuật, y tế, thể dục thể thao và quản lý nhà nước.</w:t>
      </w:r>
    </w:p>
    <w:p w:rsidR="00431FD8" w:rsidRDefault="00000000">
      <w:pPr>
        <w:spacing w:before="120" w:after="120" w:line="276" w:lineRule="auto"/>
        <w:ind w:firstLine="709"/>
        <w:jc w:val="both"/>
      </w:pPr>
      <w:r>
        <w:rPr>
          <w:b/>
          <w:bCs/>
        </w:rPr>
        <w:t xml:space="preserve">3. </w:t>
      </w:r>
      <w:r>
        <w:t>Giải pháp thực hiện chính sách và lý do lựa chọn:</w:t>
      </w:r>
    </w:p>
    <w:p w:rsidR="00431FD8" w:rsidRDefault="00000000">
      <w:pPr>
        <w:spacing w:before="120" w:after="120" w:line="276" w:lineRule="auto"/>
        <w:ind w:firstLine="709"/>
        <w:jc w:val="both"/>
      </w:pPr>
      <w:r>
        <w:t>- Giải pháp về điều kiện thực hiện chính sách: là tập thể, cá nhân, hộ gia đình có thành tích vượt trội hoặc thành tích đặc biệt xuất sắc đột xuất trong các lĩnh vực được ghi nhận góp phần thúc đẩy phát triển kinh tế - xã hội, quốc phòng - an ninh của Thành phố Hồ Chí Minh.</w:t>
      </w:r>
    </w:p>
    <w:p w:rsidR="00431FD8" w:rsidRDefault="00000000">
      <w:pPr>
        <w:spacing w:before="120" w:after="120" w:line="276" w:lineRule="auto"/>
        <w:ind w:firstLine="709"/>
        <w:jc w:val="both"/>
      </w:pPr>
      <w:r>
        <w:t>- Giải pháp về ngân sách: do ngân sách Thành phố bảo đảm và được bố trí trong dự toán chi thường xuyên được giao hàng năm của các đơn vị theo quy định của pháp luật về ngân sách nhà nước.</w:t>
      </w:r>
    </w:p>
    <w:p w:rsidR="00431FD8" w:rsidRDefault="00000000">
      <w:pPr>
        <w:spacing w:before="120" w:after="120" w:line="276" w:lineRule="auto"/>
        <w:ind w:firstLine="709"/>
        <w:jc w:val="both"/>
        <w:rPr>
          <w:b/>
          <w:bCs/>
        </w:rPr>
      </w:pPr>
      <w:r>
        <w:t xml:space="preserve">- Giải pháp về hồ sơ và trình tự thủ tục: thủ tục thực hiện theo quy định tại  </w:t>
      </w:r>
      <w:r>
        <w:rPr>
          <w:lang w:val="vi-VN" w:eastAsia="vi-VN"/>
        </w:rPr>
        <w:t xml:space="preserve">Quyết định số </w:t>
      </w:r>
      <w:r>
        <w:rPr>
          <w:lang w:eastAsia="vi-VN"/>
        </w:rPr>
        <w:t>65</w:t>
      </w:r>
      <w:r>
        <w:rPr>
          <w:lang w:val="vi-VN" w:eastAsia="vi-VN"/>
        </w:rPr>
        <w:t>/20</w:t>
      </w:r>
      <w:r>
        <w:rPr>
          <w:lang w:eastAsia="vi-VN"/>
        </w:rPr>
        <w:t>24</w:t>
      </w:r>
      <w:r>
        <w:rPr>
          <w:lang w:val="vi-VN" w:eastAsia="vi-VN"/>
        </w:rPr>
        <w:t xml:space="preserve">/QĐ-UBND ngày </w:t>
      </w:r>
      <w:r>
        <w:rPr>
          <w:lang w:eastAsia="vi-VN"/>
        </w:rPr>
        <w:t>20</w:t>
      </w:r>
      <w:r>
        <w:rPr>
          <w:lang w:val="vi-VN" w:eastAsia="vi-VN"/>
        </w:rPr>
        <w:t xml:space="preserve"> tháng </w:t>
      </w:r>
      <w:r>
        <w:rPr>
          <w:lang w:eastAsia="vi-VN"/>
        </w:rPr>
        <w:t>9</w:t>
      </w:r>
      <w:r>
        <w:rPr>
          <w:lang w:val="vi-VN" w:eastAsia="vi-VN"/>
        </w:rPr>
        <w:t xml:space="preserve"> năm 20</w:t>
      </w:r>
      <w:r>
        <w:rPr>
          <w:lang w:eastAsia="vi-VN"/>
        </w:rPr>
        <w:t>24</w:t>
      </w:r>
      <w:r>
        <w:rPr>
          <w:lang w:val="vi-VN" w:eastAsia="vi-VN"/>
        </w:rPr>
        <w:t xml:space="preserve"> của Ủy ban nhân dân </w:t>
      </w:r>
      <w:r>
        <w:rPr>
          <w:lang w:eastAsia="vi-VN"/>
        </w:rPr>
        <w:t>Thành phố</w:t>
      </w:r>
      <w:r>
        <w:rPr>
          <w:lang w:val="vi-VN" w:eastAsia="vi-VN"/>
        </w:rPr>
        <w:t xml:space="preserve"> </w:t>
      </w:r>
      <w:r>
        <w:rPr>
          <w:lang w:eastAsia="vi-VN"/>
        </w:rPr>
        <w:t xml:space="preserve">Hồ Chí Minh </w:t>
      </w:r>
      <w:r>
        <w:rPr>
          <w:lang w:val="vi-VN" w:eastAsia="vi-VN"/>
        </w:rPr>
        <w:t>ban hành quy định về công tác thi đua, khen thưởng</w:t>
      </w:r>
      <w:r>
        <w:rPr>
          <w:lang w:eastAsia="vi-VN"/>
        </w:rPr>
        <w:t xml:space="preserve"> </w:t>
      </w:r>
      <w:r>
        <w:rPr>
          <w:lang w:val="vi-VN" w:eastAsia="vi-VN"/>
        </w:rPr>
        <w:t xml:space="preserve">tại </w:t>
      </w:r>
      <w:r>
        <w:rPr>
          <w:lang w:eastAsia="vi-VN"/>
        </w:rPr>
        <w:t>Thành phố</w:t>
      </w:r>
      <w:r>
        <w:rPr>
          <w:lang w:val="vi-VN" w:eastAsia="vi-VN"/>
        </w:rPr>
        <w:t xml:space="preserve"> Hồ Chí Minh</w:t>
      </w:r>
      <w:bookmarkEnd w:id="22"/>
      <w:r>
        <w:rPr>
          <w:lang w:eastAsia="vi-VN"/>
        </w:rPr>
        <w:t>.</w:t>
      </w:r>
    </w:p>
    <w:p w:rsidR="00431FD8" w:rsidRDefault="00000000">
      <w:pPr>
        <w:spacing w:before="120" w:after="120" w:line="276" w:lineRule="auto"/>
        <w:ind w:firstLine="709"/>
        <w:jc w:val="both"/>
        <w:rPr>
          <w:b/>
          <w:bCs/>
          <w:lang w:val="vi-VN"/>
        </w:rPr>
      </w:pPr>
      <w:r>
        <w:rPr>
          <w:b/>
          <w:bCs/>
          <w:lang w:val="vi-VN"/>
        </w:rPr>
        <w:t>V. BỐ CỤC VÀ NỘI DUNG CƠ BẢN CỦA DỰ THẢO VĂN BẢN</w:t>
      </w:r>
    </w:p>
    <w:p w:rsidR="00431FD8" w:rsidRDefault="00000000">
      <w:pPr>
        <w:spacing w:before="120" w:after="120" w:line="276" w:lineRule="auto"/>
        <w:ind w:firstLine="709"/>
        <w:jc w:val="both"/>
        <w:rPr>
          <w:lang w:val="vi-VN"/>
        </w:rPr>
      </w:pPr>
      <w:bookmarkStart w:id="23" w:name="_Hlk179962428"/>
      <w:r>
        <w:rPr>
          <w:b/>
          <w:bCs/>
          <w:lang w:val="vi-VN"/>
        </w:rPr>
        <w:t>1. Bố cục</w:t>
      </w:r>
    </w:p>
    <w:p w:rsidR="00431FD8" w:rsidRDefault="00000000">
      <w:pPr>
        <w:spacing w:before="120" w:after="120" w:line="276" w:lineRule="auto"/>
        <w:ind w:firstLine="709"/>
        <w:jc w:val="both"/>
        <w:rPr>
          <w:lang w:val="vi-VN"/>
        </w:rPr>
      </w:pPr>
      <w:r>
        <w:rPr>
          <w:lang w:val="vi-VN"/>
        </w:rPr>
        <w:t xml:space="preserve">Nội dung dự thảo Nghị quyết gồm </w:t>
      </w:r>
      <w:r>
        <w:t>08</w:t>
      </w:r>
      <w:r>
        <w:rPr>
          <w:lang w:val="vi-VN"/>
        </w:rPr>
        <w:t xml:space="preserve"> điều. </w:t>
      </w:r>
    </w:p>
    <w:p w:rsidR="00431FD8" w:rsidRDefault="00000000">
      <w:pPr>
        <w:spacing w:before="120" w:after="120" w:line="276" w:lineRule="auto"/>
        <w:ind w:firstLine="709"/>
        <w:jc w:val="both"/>
        <w:rPr>
          <w:b/>
          <w:bCs/>
          <w:lang w:val="vi-VN"/>
        </w:rPr>
      </w:pPr>
      <w:r>
        <w:rPr>
          <w:b/>
          <w:bCs/>
          <w:lang w:val="vi-VN"/>
        </w:rPr>
        <w:t>2. Nội dung cơ bản của dự thảo văn bản</w:t>
      </w:r>
    </w:p>
    <w:p w:rsidR="00431FD8" w:rsidRDefault="00000000">
      <w:pPr>
        <w:spacing w:before="120" w:after="120" w:line="276" w:lineRule="auto"/>
        <w:ind w:firstLine="709"/>
        <w:jc w:val="both"/>
        <w:rPr>
          <w:b/>
          <w:bCs/>
          <w:i/>
        </w:rPr>
      </w:pPr>
      <w:r>
        <w:rPr>
          <w:b/>
          <w:bCs/>
          <w:i/>
          <w:lang w:val="vi-VN"/>
        </w:rPr>
        <w:t>2.1.</w:t>
      </w:r>
      <w:r>
        <w:rPr>
          <w:b/>
          <w:bCs/>
          <w:i/>
        </w:rPr>
        <w:t xml:space="preserve"> </w:t>
      </w:r>
      <w:r>
        <w:rPr>
          <w:b/>
          <w:bCs/>
          <w:i/>
          <w:lang w:val="vi-VN"/>
        </w:rPr>
        <w:t xml:space="preserve">Về </w:t>
      </w:r>
      <w:r>
        <w:rPr>
          <w:b/>
          <w:bCs/>
          <w:i/>
        </w:rPr>
        <w:t>m</w:t>
      </w:r>
      <w:r>
        <w:rPr>
          <w:b/>
          <w:bCs/>
          <w:i/>
          <w:lang w:val="vi-VN"/>
        </w:rPr>
        <w:t xml:space="preserve">ức </w:t>
      </w:r>
      <w:r>
        <w:rPr>
          <w:b/>
          <w:bCs/>
          <w:i/>
        </w:rPr>
        <w:t>thưởng thêm</w:t>
      </w:r>
      <w:r>
        <w:rPr>
          <w:b/>
          <w:bCs/>
          <w:i/>
          <w:lang w:val="vi-VN"/>
        </w:rPr>
        <w:t xml:space="preserve"> </w:t>
      </w:r>
    </w:p>
    <w:p w:rsidR="00431FD8" w:rsidRDefault="00000000">
      <w:pPr>
        <w:spacing w:before="120" w:after="120" w:line="276" w:lineRule="auto"/>
        <w:ind w:firstLine="709"/>
        <w:jc w:val="both"/>
        <w:rPr>
          <w:iCs/>
          <w:lang w:val="vi-VN"/>
        </w:rPr>
      </w:pPr>
      <w:r>
        <w:rPr>
          <w:iCs/>
        </w:rPr>
        <w:lastRenderedPageBreak/>
        <w:t>a) Mức thưởng thêm đối với</w:t>
      </w:r>
      <w:r>
        <w:rPr>
          <w:iCs/>
          <w:lang w:val="vi-VN"/>
        </w:rPr>
        <w:t xml:space="preserve"> thành tích vượt trội</w:t>
      </w:r>
    </w:p>
    <w:p w:rsidR="00431FD8" w:rsidRDefault="00000000">
      <w:pPr>
        <w:spacing w:before="120" w:after="120" w:line="276" w:lineRule="auto"/>
        <w:ind w:firstLine="709"/>
        <w:jc w:val="both"/>
      </w:pPr>
      <w:r>
        <w:t>- Đối với cá nhân</w:t>
      </w:r>
    </w:p>
    <w:p w:rsidR="00431FD8" w:rsidRDefault="00000000">
      <w:pPr>
        <w:spacing w:before="120" w:after="120" w:line="276" w:lineRule="auto"/>
        <w:ind w:firstLine="709"/>
        <w:jc w:val="both"/>
      </w:pPr>
      <w:r>
        <w:t>+ Đạt Giải thưởng Hồ Chí Minh.</w:t>
      </w:r>
    </w:p>
    <w:p w:rsidR="00431FD8" w:rsidRDefault="00000000">
      <w:pPr>
        <w:spacing w:before="120" w:after="120" w:line="276" w:lineRule="auto"/>
        <w:ind w:firstLine="709"/>
        <w:jc w:val="both"/>
      </w:pPr>
      <w:r>
        <w:t>+ Đạt Giải thưởng Nhà nước.</w:t>
      </w:r>
    </w:p>
    <w:p w:rsidR="00431FD8" w:rsidRDefault="00000000">
      <w:pPr>
        <w:spacing w:before="120" w:after="120" w:line="276" w:lineRule="auto"/>
        <w:ind w:firstLine="709"/>
        <w:jc w:val="both"/>
        <w:rPr>
          <w:spacing w:val="-6"/>
        </w:rPr>
      </w:pPr>
      <w:r>
        <w:rPr>
          <w:spacing w:val="-6"/>
        </w:rPr>
        <w:t>+ Đạt danh hiệu Anh hùng Lực lượng vũ trang nhân dân, Anh hùng Lao động.</w:t>
      </w:r>
    </w:p>
    <w:p w:rsidR="00431FD8" w:rsidRDefault="00000000">
      <w:pPr>
        <w:spacing w:before="120" w:after="120" w:line="276" w:lineRule="auto"/>
        <w:ind w:firstLine="709"/>
        <w:jc w:val="both"/>
      </w:pPr>
      <w:r>
        <w:t>+ Đạt danh hiệu Nhà giáo Nhân dân, Thầy thuốc Nhân dân, Nghệ sĩ Nhân dân, Nghệ nhân Nhân dân.</w:t>
      </w:r>
    </w:p>
    <w:p w:rsidR="00431FD8" w:rsidRDefault="00000000">
      <w:pPr>
        <w:spacing w:before="120" w:after="120" w:line="276" w:lineRule="auto"/>
        <w:ind w:firstLine="709"/>
        <w:jc w:val="both"/>
      </w:pPr>
      <w:r>
        <w:t>+ Đạt danh hiệu Chiến sĩ thi đua Toàn quốc.</w:t>
      </w:r>
    </w:p>
    <w:p w:rsidR="00431FD8" w:rsidRDefault="00000000">
      <w:pPr>
        <w:spacing w:before="120" w:after="120" w:line="276" w:lineRule="auto"/>
        <w:ind w:firstLine="709"/>
        <w:jc w:val="both"/>
      </w:pPr>
      <w:r>
        <w:t>- Đối với tập thể</w:t>
      </w:r>
    </w:p>
    <w:p w:rsidR="00431FD8" w:rsidRDefault="00000000">
      <w:pPr>
        <w:spacing w:before="120" w:after="120" w:line="276" w:lineRule="auto"/>
        <w:ind w:firstLine="709"/>
        <w:jc w:val="both"/>
        <w:rPr>
          <w:iCs/>
        </w:rPr>
      </w:pPr>
      <w:r>
        <w:t>+ Tập thể hoàn thành xuất sắc toàn diện nhiệm vụ công tác, dẫn đầu phong trào thi đua yêu nước năm của Thành phố, được Thủ tướng Chính phủ tặng Cờ thi đua của Chính phủ.</w:t>
      </w:r>
    </w:p>
    <w:p w:rsidR="00431FD8" w:rsidRDefault="00000000">
      <w:pPr>
        <w:spacing w:before="120" w:after="120" w:line="276" w:lineRule="auto"/>
        <w:ind w:firstLine="709"/>
        <w:jc w:val="both"/>
      </w:pPr>
      <w:r>
        <w:t>+ Tập thể có thành tích xuất sắc hoàn thành và vượt từ 01% đến trên 20% chỉ tiêu được giao tại các Nghị quyết Hội đồng nhân dân Thành phố về phát triển kinh tế - xã hội, đảm bảo quốc phòng - an ninh, cơ chế chính sách đặc thù, đáp ứng tình hình thực tiễn giao hằng năm.</w:t>
      </w:r>
    </w:p>
    <w:p w:rsidR="00431FD8" w:rsidRDefault="00000000">
      <w:pPr>
        <w:spacing w:before="120" w:after="120" w:line="276" w:lineRule="auto"/>
        <w:ind w:firstLine="709"/>
        <w:jc w:val="both"/>
      </w:pPr>
      <w:r>
        <w:t>+ Tập thể hoàn thành xuất sắc nhiệm vụ thu ngân sách năm.</w:t>
      </w:r>
    </w:p>
    <w:p w:rsidR="00431FD8" w:rsidRDefault="00000000">
      <w:pPr>
        <w:spacing w:before="120" w:after="120" w:line="276" w:lineRule="auto"/>
        <w:ind w:firstLine="709"/>
        <w:jc w:val="both"/>
      </w:pPr>
      <w:r>
        <w:t>+ Doanh nghiệp có số nộp ngân sách nhà nước năm từ 500 tỷ đồng trở lên.</w:t>
      </w:r>
    </w:p>
    <w:p w:rsidR="00431FD8" w:rsidRDefault="00000000">
      <w:pPr>
        <w:spacing w:before="120" w:after="120" w:line="276" w:lineRule="auto"/>
        <w:ind w:firstLine="709"/>
        <w:jc w:val="both"/>
      </w:pPr>
      <w:r>
        <w:t>+ Tập thể có thành tích hoàn thành xuất sắc trong công tác giải ngân vốn đầu tư công hằng năm.</w:t>
      </w:r>
    </w:p>
    <w:p w:rsidR="00431FD8" w:rsidRDefault="00000000">
      <w:pPr>
        <w:spacing w:before="120" w:after="120" w:line="276" w:lineRule="auto"/>
        <w:ind w:firstLine="709"/>
        <w:jc w:val="both"/>
        <w:rPr>
          <w:iCs/>
          <w:lang w:val="vi-VN"/>
        </w:rPr>
      </w:pPr>
      <w:r>
        <w:rPr>
          <w:iCs/>
        </w:rPr>
        <w:t>b)</w:t>
      </w:r>
      <w:r>
        <w:rPr>
          <w:iCs/>
          <w:lang w:val="vi-VN"/>
        </w:rPr>
        <w:t xml:space="preserve"> </w:t>
      </w:r>
      <w:r>
        <w:rPr>
          <w:iCs/>
        </w:rPr>
        <w:t>M</w:t>
      </w:r>
      <w:r>
        <w:rPr>
          <w:iCs/>
          <w:lang w:val="vi-VN"/>
        </w:rPr>
        <w:t xml:space="preserve">ức </w:t>
      </w:r>
      <w:r>
        <w:rPr>
          <w:iCs/>
        </w:rPr>
        <w:t>thưởng thêm đối với</w:t>
      </w:r>
      <w:r>
        <w:rPr>
          <w:iCs/>
          <w:lang w:val="vi-VN"/>
        </w:rPr>
        <w:t xml:space="preserve"> thành tích đặc biệt xuất sắc đột xuất</w:t>
      </w:r>
    </w:p>
    <w:p w:rsidR="00431FD8" w:rsidRDefault="00000000">
      <w:pPr>
        <w:spacing w:before="120" w:after="120" w:line="276" w:lineRule="auto"/>
        <w:ind w:firstLine="709"/>
        <w:jc w:val="both"/>
        <w:rPr>
          <w:spacing w:val="-8"/>
        </w:rPr>
      </w:pPr>
      <w:r>
        <w:rPr>
          <w:spacing w:val="-8"/>
        </w:rPr>
        <w:t>- Có hành động dũng cảm cứu người, cứu tài sản của Nhân dân, của Nhà nước.</w:t>
      </w:r>
    </w:p>
    <w:p w:rsidR="00431FD8" w:rsidRDefault="00000000">
      <w:pPr>
        <w:spacing w:before="120" w:after="120" w:line="276" w:lineRule="auto"/>
        <w:ind w:firstLine="709"/>
        <w:jc w:val="both"/>
      </w:pPr>
      <w:r>
        <w:t>- Có hành động dũng cảm trong chiến đấu, phục vụ chiến đấu.</w:t>
      </w:r>
    </w:p>
    <w:p w:rsidR="00431FD8" w:rsidRDefault="00000000">
      <w:pPr>
        <w:spacing w:before="120" w:after="120" w:line="276" w:lineRule="auto"/>
        <w:ind w:firstLine="709"/>
        <w:jc w:val="both"/>
        <w:rPr>
          <w:bCs/>
          <w:iCs/>
          <w:spacing w:val="-2"/>
        </w:rPr>
      </w:pPr>
      <w:r>
        <w:rPr>
          <w:spacing w:val="-2"/>
        </w:rPr>
        <w:t xml:space="preserve">- </w:t>
      </w:r>
      <w:r>
        <w:rPr>
          <w:bCs/>
          <w:iCs/>
          <w:spacing w:val="-2"/>
        </w:rPr>
        <w:t>Đạt thành tích đặc biệt xuất sắc đột xuất trong các lĩnh vực kinh tế xã hội, quốc phòng - an ninh và các lĩnh vực khác ở trong nước, khu vực và thế giới.</w:t>
      </w:r>
    </w:p>
    <w:p w:rsidR="00431FD8" w:rsidRDefault="00000000">
      <w:pPr>
        <w:spacing w:before="120" w:after="120" w:line="276" w:lineRule="auto"/>
        <w:ind w:firstLine="709"/>
        <w:jc w:val="both"/>
        <w:rPr>
          <w:b/>
          <w:bCs/>
          <w:i/>
          <w:lang w:val="vi-VN"/>
        </w:rPr>
      </w:pPr>
      <w:bookmarkStart w:id="24" w:name="_Hlk179980794"/>
      <w:bookmarkEnd w:id="23"/>
      <w:r>
        <w:rPr>
          <w:b/>
          <w:bCs/>
          <w:i/>
          <w:lang w:val="vi-VN"/>
        </w:rPr>
        <w:t>2.</w:t>
      </w:r>
      <w:r>
        <w:rPr>
          <w:b/>
          <w:bCs/>
          <w:i/>
        </w:rPr>
        <w:t>2</w:t>
      </w:r>
      <w:r>
        <w:rPr>
          <w:b/>
          <w:bCs/>
          <w:i/>
          <w:lang w:val="vi-VN"/>
        </w:rPr>
        <w:t>.</w:t>
      </w:r>
      <w:r>
        <w:rPr>
          <w:b/>
          <w:bCs/>
          <w:i/>
        </w:rPr>
        <w:t xml:space="preserve"> </w:t>
      </w:r>
      <w:r>
        <w:rPr>
          <w:b/>
          <w:bCs/>
          <w:i/>
          <w:lang w:val="vi-VN"/>
        </w:rPr>
        <w:t xml:space="preserve">Về nguồn kinh phí </w:t>
      </w:r>
    </w:p>
    <w:p w:rsidR="00431FD8" w:rsidRDefault="00000000">
      <w:pPr>
        <w:spacing w:before="120" w:after="120" w:line="276" w:lineRule="auto"/>
        <w:ind w:firstLine="709"/>
        <w:jc w:val="both"/>
      </w:pPr>
      <w:r>
        <w:t>Kinh phí thực hiện được chi từ ngân sách nhà nước do ngân sách Thành phố bảo đảm và được bố trí trong dự toán chi thường xuyên được giao hằng năm của các đơn vị theo quy định của pháp luật về ngân sách nhà nước</w:t>
      </w:r>
      <w:bookmarkStart w:id="25" w:name="_Hlk179965886"/>
      <w:r>
        <w:t xml:space="preserve">. Trên cơ sở tổng hợp số liệu kinh phí thực hiện thưởng các tập thể, cá nhân, hộ gia đình đạt thành tích vượt trội, đặc biệt xuất sắc trong những năm qua, Sở Nội vụ dự toán tổng kinh phí chi cho thưởng thêm đối với tập thể, cá nhân lập thành tích vượt trội, đặc biệt xuất sắc đột xuất theo Nghị định số 84/2024/NĐ-CP ngày 10 tháng 7 năm 2024 của Chính phủ về thí điểm phân cấp quản lý nhà nước một số lĩnh vực cho chính quyền Thành </w:t>
      </w:r>
      <w:r>
        <w:lastRenderedPageBreak/>
        <w:t xml:space="preserve">phố Hồ Chí Minh là </w:t>
      </w:r>
      <w:bookmarkStart w:id="26" w:name="_Hlk180422412"/>
      <w:r>
        <w:t>22.179.000.000 đồng/năm (Hai mươi hai tỷ một trăm bảy mươi chín triệu đồng chẵn)</w:t>
      </w:r>
      <w:bookmarkEnd w:id="25"/>
      <w:bookmarkEnd w:id="26"/>
      <w:r>
        <w:t xml:space="preserve"> </w:t>
      </w:r>
      <w:r>
        <w:rPr>
          <w:i/>
          <w:iCs/>
        </w:rPr>
        <w:t>(tính theo mức lương cơ sở hiện hành: 2.340.000 đồng).</w:t>
      </w:r>
    </w:p>
    <w:p w:rsidR="00431FD8" w:rsidRDefault="00000000">
      <w:pPr>
        <w:spacing w:before="120" w:after="120" w:line="276" w:lineRule="auto"/>
        <w:ind w:firstLine="709"/>
        <w:jc w:val="both"/>
        <w:rPr>
          <w:b/>
          <w:bCs/>
          <w:i/>
          <w:lang w:val="vi-VN"/>
        </w:rPr>
      </w:pPr>
      <w:r>
        <w:rPr>
          <w:b/>
          <w:bCs/>
          <w:i/>
          <w:lang w:val="vi-VN"/>
        </w:rPr>
        <w:t>2.</w:t>
      </w:r>
      <w:r>
        <w:rPr>
          <w:b/>
          <w:bCs/>
          <w:i/>
        </w:rPr>
        <w:t>3</w:t>
      </w:r>
      <w:r>
        <w:rPr>
          <w:b/>
          <w:bCs/>
          <w:i/>
          <w:lang w:val="vi-VN"/>
        </w:rPr>
        <w:t>.</w:t>
      </w:r>
      <w:r>
        <w:rPr>
          <w:b/>
          <w:bCs/>
          <w:i/>
        </w:rPr>
        <w:t xml:space="preserve"> </w:t>
      </w:r>
      <w:r>
        <w:rPr>
          <w:b/>
          <w:bCs/>
          <w:i/>
          <w:lang w:val="vi-VN"/>
        </w:rPr>
        <w:t xml:space="preserve">Về </w:t>
      </w:r>
      <w:r>
        <w:rPr>
          <w:b/>
          <w:bCs/>
          <w:i/>
        </w:rPr>
        <w:t>hiệu lực thi hành</w:t>
      </w:r>
      <w:r>
        <w:rPr>
          <w:b/>
          <w:bCs/>
          <w:i/>
          <w:lang w:val="vi-VN"/>
        </w:rPr>
        <w:t xml:space="preserve"> </w:t>
      </w:r>
    </w:p>
    <w:p w:rsidR="00431FD8" w:rsidRDefault="00000000">
      <w:pPr>
        <w:spacing w:before="120" w:after="120" w:line="276" w:lineRule="auto"/>
        <w:ind w:firstLine="709"/>
        <w:jc w:val="both"/>
      </w:pPr>
      <w:r>
        <w:t>Nghị quyết này có hiệu lực đến thời điểm Thành phố Hồ Chí Minh tổ chức tổng kết, đánh giá kết quả thực hiện Nghị định số 84/2024/NĐ-CP ngày 10 tháng 7 năm 2024 của Chính phủ về thí điểm phân cấp quản lý nhà nước một số lĩnh vực cho chính quyền Thành phố Hồ Chí Minh.</w:t>
      </w:r>
      <w:bookmarkEnd w:id="24"/>
    </w:p>
    <w:p w:rsidR="00431FD8" w:rsidRDefault="00000000">
      <w:pPr>
        <w:spacing w:before="120" w:after="240" w:line="276" w:lineRule="auto"/>
        <w:ind w:right="-6" w:firstLine="720"/>
        <w:jc w:val="both"/>
        <w:rPr>
          <w:i/>
        </w:rPr>
      </w:pPr>
      <w:r>
        <w:t xml:space="preserve">Trên đây là Tờ trình đề nghị xây dựng nghị quyết Hội đồng nhân dân Thành phố, Ủy ban nhân dân Thành phố kính trình Hội đồng nhân dân Thành phố xem xét, </w:t>
      </w:r>
      <w:r>
        <w:rPr>
          <w:spacing w:val="-4"/>
        </w:rPr>
        <w:t xml:space="preserve">phê duyệt </w:t>
      </w:r>
      <w:r>
        <w:rPr>
          <w:i/>
        </w:rPr>
        <w:t>(Đính kèm dự thảo Nghị quyết)./.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3"/>
        <w:gridCol w:w="4654"/>
      </w:tblGrid>
      <w:tr w:rsidR="00431FD8">
        <w:tc>
          <w:tcPr>
            <w:tcW w:w="4653" w:type="dxa"/>
          </w:tcPr>
          <w:p w:rsidR="00431FD8" w:rsidRDefault="00000000">
            <w:pPr>
              <w:tabs>
                <w:tab w:val="center" w:pos="6660"/>
              </w:tabs>
              <w:rPr>
                <w:b/>
                <w:bCs/>
                <w:sz w:val="24"/>
                <w:szCs w:val="24"/>
              </w:rPr>
            </w:pPr>
            <w:r>
              <w:rPr>
                <w:b/>
                <w:bCs/>
                <w:i/>
                <w:iCs/>
                <w:sz w:val="24"/>
                <w:szCs w:val="24"/>
              </w:rPr>
              <w:t>Nơi nhận:</w:t>
            </w:r>
            <w:r>
              <w:rPr>
                <w:b/>
                <w:bCs/>
                <w:sz w:val="24"/>
                <w:szCs w:val="24"/>
              </w:rPr>
              <w:t xml:space="preserve"> </w:t>
            </w:r>
          </w:p>
          <w:p w:rsidR="00431FD8" w:rsidRDefault="00000000">
            <w:pPr>
              <w:tabs>
                <w:tab w:val="center" w:pos="6660"/>
              </w:tabs>
              <w:rPr>
                <w:bCs/>
                <w:sz w:val="22"/>
                <w:szCs w:val="22"/>
              </w:rPr>
            </w:pPr>
            <w:r>
              <w:rPr>
                <w:sz w:val="22"/>
                <w:szCs w:val="22"/>
              </w:rPr>
              <w:t>- Như trên;</w:t>
            </w:r>
            <w:r>
              <w:rPr>
                <w:bCs/>
                <w:sz w:val="22"/>
                <w:szCs w:val="22"/>
              </w:rPr>
              <w:t xml:space="preserve"> </w:t>
            </w:r>
          </w:p>
          <w:p w:rsidR="00431FD8" w:rsidRDefault="00000000">
            <w:pPr>
              <w:tabs>
                <w:tab w:val="center" w:pos="6660"/>
              </w:tabs>
              <w:rPr>
                <w:bCs/>
                <w:sz w:val="22"/>
                <w:szCs w:val="22"/>
              </w:rPr>
            </w:pPr>
            <w:r>
              <w:rPr>
                <w:bCs/>
                <w:sz w:val="22"/>
                <w:szCs w:val="22"/>
              </w:rPr>
              <w:t>- TT. UBND TP;</w:t>
            </w:r>
          </w:p>
          <w:p w:rsidR="00431FD8" w:rsidRDefault="00000000">
            <w:pPr>
              <w:tabs>
                <w:tab w:val="left" w:pos="142"/>
                <w:tab w:val="center" w:pos="6237"/>
                <w:tab w:val="center" w:pos="6660"/>
              </w:tabs>
              <w:ind w:right="-86"/>
              <w:rPr>
                <w:sz w:val="22"/>
                <w:szCs w:val="22"/>
              </w:rPr>
            </w:pPr>
            <w:r>
              <w:rPr>
                <w:sz w:val="22"/>
                <w:szCs w:val="22"/>
              </w:rPr>
              <w:t xml:space="preserve">- VPUB: CVP, các PCVP;  </w:t>
            </w:r>
          </w:p>
          <w:p w:rsidR="00431FD8" w:rsidRDefault="00000000">
            <w:pPr>
              <w:tabs>
                <w:tab w:val="left" w:pos="142"/>
                <w:tab w:val="center" w:pos="6237"/>
                <w:tab w:val="center" w:pos="6660"/>
              </w:tabs>
              <w:ind w:right="-86"/>
              <w:rPr>
                <w:sz w:val="22"/>
                <w:szCs w:val="22"/>
              </w:rPr>
            </w:pPr>
            <w:r>
              <w:rPr>
                <w:sz w:val="22"/>
                <w:szCs w:val="22"/>
              </w:rPr>
              <w:t>- Sở Tư pháp;</w:t>
            </w:r>
          </w:p>
          <w:p w:rsidR="00431FD8" w:rsidRDefault="00000000">
            <w:pPr>
              <w:tabs>
                <w:tab w:val="left" w:pos="142"/>
                <w:tab w:val="center" w:pos="6237"/>
                <w:tab w:val="center" w:pos="6660"/>
              </w:tabs>
              <w:ind w:right="-86"/>
              <w:rPr>
                <w:sz w:val="22"/>
                <w:szCs w:val="22"/>
              </w:rPr>
            </w:pPr>
            <w:r>
              <w:rPr>
                <w:sz w:val="22"/>
                <w:szCs w:val="22"/>
              </w:rPr>
              <w:t>- Sở Nội vụ;</w:t>
            </w:r>
          </w:p>
          <w:p w:rsidR="00431FD8" w:rsidRDefault="00000000">
            <w:pPr>
              <w:tabs>
                <w:tab w:val="left" w:pos="142"/>
                <w:tab w:val="center" w:pos="6237"/>
                <w:tab w:val="center" w:pos="6660"/>
              </w:tabs>
              <w:ind w:right="-86"/>
              <w:rPr>
                <w:sz w:val="22"/>
                <w:szCs w:val="22"/>
              </w:rPr>
            </w:pPr>
            <w:r>
              <w:rPr>
                <w:sz w:val="22"/>
                <w:szCs w:val="22"/>
              </w:rPr>
              <w:t>- Lưu: VT, (VX/NgC).</w:t>
            </w:r>
          </w:p>
          <w:p w:rsidR="00431FD8" w:rsidRDefault="00431FD8">
            <w:pPr>
              <w:jc w:val="both"/>
              <w:rPr>
                <w:i/>
              </w:rPr>
            </w:pPr>
          </w:p>
        </w:tc>
        <w:tc>
          <w:tcPr>
            <w:tcW w:w="4654" w:type="dxa"/>
          </w:tcPr>
          <w:p w:rsidR="00431FD8" w:rsidRDefault="00000000">
            <w:pPr>
              <w:jc w:val="center"/>
              <w:rPr>
                <w:b/>
                <w:bCs/>
              </w:rPr>
            </w:pPr>
            <w:r>
              <w:rPr>
                <w:b/>
                <w:bCs/>
              </w:rPr>
              <w:t>TM. ỦY BAN NHÂN DÂN</w:t>
            </w:r>
          </w:p>
          <w:p w:rsidR="00431FD8" w:rsidRDefault="00000000">
            <w:pPr>
              <w:jc w:val="center"/>
              <w:rPr>
                <w:b/>
                <w:bCs/>
              </w:rPr>
            </w:pPr>
            <w:r>
              <w:rPr>
                <w:b/>
                <w:bCs/>
              </w:rPr>
              <w:t>CHỦ TỊCH</w:t>
            </w:r>
          </w:p>
          <w:p w:rsidR="00431FD8" w:rsidRDefault="00431FD8">
            <w:pPr>
              <w:jc w:val="center"/>
              <w:rPr>
                <w:i/>
              </w:rPr>
            </w:pPr>
          </w:p>
          <w:p w:rsidR="00431FD8" w:rsidRDefault="00431FD8">
            <w:pPr>
              <w:jc w:val="center"/>
              <w:rPr>
                <w:i/>
              </w:rPr>
            </w:pPr>
          </w:p>
          <w:p w:rsidR="00431FD8" w:rsidRDefault="00431FD8">
            <w:pPr>
              <w:jc w:val="center"/>
              <w:rPr>
                <w:i/>
              </w:rPr>
            </w:pPr>
          </w:p>
          <w:p w:rsidR="00431FD8" w:rsidRDefault="00431FD8">
            <w:pPr>
              <w:jc w:val="center"/>
              <w:rPr>
                <w:i/>
              </w:rPr>
            </w:pPr>
          </w:p>
          <w:p w:rsidR="00431FD8" w:rsidRDefault="00000000">
            <w:pPr>
              <w:jc w:val="center"/>
              <w:rPr>
                <w:i/>
              </w:rPr>
            </w:pPr>
            <w:r>
              <w:rPr>
                <w:b/>
                <w:bCs/>
              </w:rPr>
              <w:t>Phan Văn Mãi</w:t>
            </w:r>
          </w:p>
        </w:tc>
      </w:tr>
    </w:tbl>
    <w:p w:rsidR="00431FD8" w:rsidRDefault="00431FD8">
      <w:pPr>
        <w:spacing w:beforeLines="60" w:before="144" w:afterLines="60" w:after="144" w:line="264" w:lineRule="auto"/>
        <w:ind w:firstLine="720"/>
        <w:jc w:val="both"/>
        <w:rPr>
          <w:i/>
        </w:rPr>
      </w:pPr>
    </w:p>
    <w:p w:rsidR="00431FD8" w:rsidRDefault="00431FD8">
      <w:pPr>
        <w:tabs>
          <w:tab w:val="left" w:leader="dot" w:pos="-2268"/>
          <w:tab w:val="left" w:pos="2100"/>
        </w:tabs>
        <w:ind w:firstLine="720"/>
        <w:jc w:val="both"/>
      </w:pPr>
    </w:p>
    <w:p w:rsidR="00431FD8" w:rsidRDefault="00431FD8">
      <w:pPr>
        <w:tabs>
          <w:tab w:val="left" w:pos="142"/>
          <w:tab w:val="center" w:pos="6237"/>
          <w:tab w:val="center" w:pos="6660"/>
        </w:tabs>
        <w:ind w:right="-86"/>
        <w:rPr>
          <w:sz w:val="22"/>
          <w:szCs w:val="22"/>
        </w:rPr>
      </w:pPr>
    </w:p>
    <w:p w:rsidR="00431FD8" w:rsidRDefault="00000000">
      <w:pPr>
        <w:tabs>
          <w:tab w:val="left" w:pos="142"/>
          <w:tab w:val="left" w:pos="1211"/>
          <w:tab w:val="center" w:pos="6237"/>
          <w:tab w:val="center" w:pos="6660"/>
        </w:tabs>
        <w:ind w:right="-86"/>
      </w:pPr>
      <w:r>
        <w:tab/>
      </w:r>
    </w:p>
    <w:p w:rsidR="00431FD8" w:rsidRDefault="00000000">
      <w:pPr>
        <w:tabs>
          <w:tab w:val="left" w:pos="142"/>
          <w:tab w:val="left" w:pos="1211"/>
          <w:tab w:val="center" w:pos="6660"/>
        </w:tabs>
        <w:ind w:right="-86"/>
      </w:pPr>
      <w:r>
        <w:tab/>
      </w:r>
      <w:r>
        <w:tab/>
      </w:r>
      <w:r>
        <w:tab/>
        <w:t xml:space="preserve"> </w:t>
      </w:r>
    </w:p>
    <w:p w:rsidR="00431FD8" w:rsidRDefault="00431FD8">
      <w:pPr>
        <w:pStyle w:val="BodyText2"/>
        <w:tabs>
          <w:tab w:val="center" w:pos="1260"/>
          <w:tab w:val="center" w:pos="6480"/>
        </w:tabs>
        <w:ind w:right="-210"/>
        <w:rPr>
          <w:vanish/>
          <w:color w:val="000000"/>
          <w:w w:val="98"/>
        </w:rPr>
      </w:pPr>
    </w:p>
    <w:sectPr w:rsidR="00431FD8">
      <w:headerReference w:type="default" r:id="rId8"/>
      <w:pgSz w:w="11909" w:h="16834"/>
      <w:pgMar w:top="1134" w:right="1008" w:bottom="709" w:left="1584" w:header="454" w:footer="454"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F41EB0" w:rsidRDefault="00F41EB0">
      <w:r>
        <w:separator/>
      </w:r>
    </w:p>
  </w:endnote>
  <w:endnote w:type="continuationSeparator" w:id="0">
    <w:p w:rsidR="00F41EB0" w:rsidRDefault="00F41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nTimeH">
    <w:panose1 w:val="020B7200000000000000"/>
    <w:charset w:val="00"/>
    <w:family w:val="swiss"/>
    <w:pitch w:val="variable"/>
    <w:sig w:usb0="00000007" w:usb1="00000000" w:usb2="00000000" w:usb3="00000000" w:csb0="00000013" w:csb1="00000000"/>
  </w:font>
  <w:font w:name="Times New Roman Bold">
    <w:altName w:val="Times New Roman"/>
    <w:panose1 w:val="020208030705050203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F41EB0" w:rsidRDefault="00F41EB0">
      <w:r>
        <w:separator/>
      </w:r>
    </w:p>
  </w:footnote>
  <w:footnote w:type="continuationSeparator" w:id="0">
    <w:p w:rsidR="00F41EB0" w:rsidRDefault="00F41E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080377"/>
    </w:sdtPr>
    <w:sdtContent>
      <w:p w:rsidR="00431FD8" w:rsidRDefault="00000000">
        <w:pPr>
          <w:pStyle w:val="Header"/>
          <w:jc w:val="center"/>
        </w:pPr>
        <w:r>
          <w:fldChar w:fldCharType="begin"/>
        </w:r>
        <w:r>
          <w:instrText xml:space="preserve"> PAGE   \* MERGEFORMAT </w:instrText>
        </w:r>
        <w:r>
          <w:fldChar w:fldCharType="separate"/>
        </w:r>
        <w:r>
          <w:t>4</w:t>
        </w:r>
        <w:r>
          <w:fldChar w:fldCharType="end"/>
        </w:r>
      </w:p>
    </w:sdtContent>
  </w:sdt>
  <w:p w:rsidR="00431FD8" w:rsidRDefault="00431FD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1E60"/>
    <w:rsid w:val="00001F46"/>
    <w:rsid w:val="00012A99"/>
    <w:rsid w:val="00063458"/>
    <w:rsid w:val="0007353A"/>
    <w:rsid w:val="00092AEE"/>
    <w:rsid w:val="00093E61"/>
    <w:rsid w:val="000C37F3"/>
    <w:rsid w:val="000C601C"/>
    <w:rsid w:val="000D4E33"/>
    <w:rsid w:val="00102102"/>
    <w:rsid w:val="00104707"/>
    <w:rsid w:val="00114745"/>
    <w:rsid w:val="00123060"/>
    <w:rsid w:val="00130134"/>
    <w:rsid w:val="00164471"/>
    <w:rsid w:val="00164843"/>
    <w:rsid w:val="00183B2D"/>
    <w:rsid w:val="001841D1"/>
    <w:rsid w:val="00192EEF"/>
    <w:rsid w:val="001A493D"/>
    <w:rsid w:val="001D0F1C"/>
    <w:rsid w:val="001D2777"/>
    <w:rsid w:val="001D39BC"/>
    <w:rsid w:val="001D7450"/>
    <w:rsid w:val="00207228"/>
    <w:rsid w:val="002617A7"/>
    <w:rsid w:val="00267DD9"/>
    <w:rsid w:val="00290D6B"/>
    <w:rsid w:val="00293033"/>
    <w:rsid w:val="00293044"/>
    <w:rsid w:val="002A79D8"/>
    <w:rsid w:val="002C22D9"/>
    <w:rsid w:val="002D6D78"/>
    <w:rsid w:val="002E35B8"/>
    <w:rsid w:val="002E7B5A"/>
    <w:rsid w:val="00337FC6"/>
    <w:rsid w:val="00346E3C"/>
    <w:rsid w:val="003579D4"/>
    <w:rsid w:val="003A4D74"/>
    <w:rsid w:val="003B04DC"/>
    <w:rsid w:val="003D0F02"/>
    <w:rsid w:val="003D72DC"/>
    <w:rsid w:val="003E5CFA"/>
    <w:rsid w:val="004218ED"/>
    <w:rsid w:val="00431FD8"/>
    <w:rsid w:val="00432DCE"/>
    <w:rsid w:val="00442C95"/>
    <w:rsid w:val="004446E7"/>
    <w:rsid w:val="004500B3"/>
    <w:rsid w:val="004638F5"/>
    <w:rsid w:val="0046573B"/>
    <w:rsid w:val="0047636A"/>
    <w:rsid w:val="00481E60"/>
    <w:rsid w:val="004822FC"/>
    <w:rsid w:val="00482EF2"/>
    <w:rsid w:val="00485A0A"/>
    <w:rsid w:val="00487A52"/>
    <w:rsid w:val="004A20DC"/>
    <w:rsid w:val="004A2282"/>
    <w:rsid w:val="004A6748"/>
    <w:rsid w:val="004A7364"/>
    <w:rsid w:val="004B388B"/>
    <w:rsid w:val="004B779F"/>
    <w:rsid w:val="004B7AC2"/>
    <w:rsid w:val="004E464C"/>
    <w:rsid w:val="0052333D"/>
    <w:rsid w:val="00546072"/>
    <w:rsid w:val="0056529E"/>
    <w:rsid w:val="00575511"/>
    <w:rsid w:val="00580205"/>
    <w:rsid w:val="00585E93"/>
    <w:rsid w:val="005A3E5E"/>
    <w:rsid w:val="005B4D5E"/>
    <w:rsid w:val="005D390E"/>
    <w:rsid w:val="005E2952"/>
    <w:rsid w:val="00602FDE"/>
    <w:rsid w:val="00614762"/>
    <w:rsid w:val="00634E48"/>
    <w:rsid w:val="00641974"/>
    <w:rsid w:val="006419AE"/>
    <w:rsid w:val="00647804"/>
    <w:rsid w:val="006500E2"/>
    <w:rsid w:val="006535D3"/>
    <w:rsid w:val="0068742F"/>
    <w:rsid w:val="0069122D"/>
    <w:rsid w:val="00692983"/>
    <w:rsid w:val="006B2524"/>
    <w:rsid w:val="006B45F6"/>
    <w:rsid w:val="006B4C4D"/>
    <w:rsid w:val="007065D1"/>
    <w:rsid w:val="00706DA9"/>
    <w:rsid w:val="00730337"/>
    <w:rsid w:val="00733A48"/>
    <w:rsid w:val="0073646E"/>
    <w:rsid w:val="00746E02"/>
    <w:rsid w:val="00751C7C"/>
    <w:rsid w:val="00755538"/>
    <w:rsid w:val="0075584A"/>
    <w:rsid w:val="00762855"/>
    <w:rsid w:val="00776CCD"/>
    <w:rsid w:val="007840C4"/>
    <w:rsid w:val="007915F0"/>
    <w:rsid w:val="007B7916"/>
    <w:rsid w:val="007C4E1B"/>
    <w:rsid w:val="007C5174"/>
    <w:rsid w:val="007D3120"/>
    <w:rsid w:val="007E1F5D"/>
    <w:rsid w:val="007E406D"/>
    <w:rsid w:val="00810C2D"/>
    <w:rsid w:val="00832C62"/>
    <w:rsid w:val="00844676"/>
    <w:rsid w:val="008453C5"/>
    <w:rsid w:val="00854E29"/>
    <w:rsid w:val="00857473"/>
    <w:rsid w:val="00871AB9"/>
    <w:rsid w:val="00873274"/>
    <w:rsid w:val="008764CD"/>
    <w:rsid w:val="0087675E"/>
    <w:rsid w:val="00883CDE"/>
    <w:rsid w:val="0089650D"/>
    <w:rsid w:val="008A1C77"/>
    <w:rsid w:val="008C0E3D"/>
    <w:rsid w:val="008C51E5"/>
    <w:rsid w:val="008C67CA"/>
    <w:rsid w:val="008D0270"/>
    <w:rsid w:val="008E60BC"/>
    <w:rsid w:val="008F0396"/>
    <w:rsid w:val="009057D0"/>
    <w:rsid w:val="009238F8"/>
    <w:rsid w:val="00933ABF"/>
    <w:rsid w:val="00934F77"/>
    <w:rsid w:val="00954CFD"/>
    <w:rsid w:val="00965712"/>
    <w:rsid w:val="0097741C"/>
    <w:rsid w:val="0098471D"/>
    <w:rsid w:val="009A11BA"/>
    <w:rsid w:val="009A713C"/>
    <w:rsid w:val="009C1C4D"/>
    <w:rsid w:val="009E43EC"/>
    <w:rsid w:val="009E4E3C"/>
    <w:rsid w:val="009F0583"/>
    <w:rsid w:val="009F5AD3"/>
    <w:rsid w:val="00A112F6"/>
    <w:rsid w:val="00A13253"/>
    <w:rsid w:val="00A132F7"/>
    <w:rsid w:val="00A15C99"/>
    <w:rsid w:val="00A31D4D"/>
    <w:rsid w:val="00A43224"/>
    <w:rsid w:val="00A71B7E"/>
    <w:rsid w:val="00A76DDB"/>
    <w:rsid w:val="00A875A9"/>
    <w:rsid w:val="00A93A09"/>
    <w:rsid w:val="00AA4EAF"/>
    <w:rsid w:val="00AB4D75"/>
    <w:rsid w:val="00AC5845"/>
    <w:rsid w:val="00AE3DBD"/>
    <w:rsid w:val="00AF2479"/>
    <w:rsid w:val="00AF3AE0"/>
    <w:rsid w:val="00B02021"/>
    <w:rsid w:val="00B02577"/>
    <w:rsid w:val="00B06785"/>
    <w:rsid w:val="00B072AC"/>
    <w:rsid w:val="00B16F7A"/>
    <w:rsid w:val="00B171AB"/>
    <w:rsid w:val="00B3061C"/>
    <w:rsid w:val="00B6037B"/>
    <w:rsid w:val="00B60D1D"/>
    <w:rsid w:val="00B66DD2"/>
    <w:rsid w:val="00B86E98"/>
    <w:rsid w:val="00BA45E5"/>
    <w:rsid w:val="00BE7D34"/>
    <w:rsid w:val="00BF4013"/>
    <w:rsid w:val="00C0127F"/>
    <w:rsid w:val="00C04BF4"/>
    <w:rsid w:val="00C1703B"/>
    <w:rsid w:val="00C325ED"/>
    <w:rsid w:val="00C51BD2"/>
    <w:rsid w:val="00C56CB1"/>
    <w:rsid w:val="00C600C4"/>
    <w:rsid w:val="00C66975"/>
    <w:rsid w:val="00C82032"/>
    <w:rsid w:val="00C97B6A"/>
    <w:rsid w:val="00D06AE6"/>
    <w:rsid w:val="00D10FCD"/>
    <w:rsid w:val="00D121BF"/>
    <w:rsid w:val="00D248F4"/>
    <w:rsid w:val="00D24C32"/>
    <w:rsid w:val="00D2599B"/>
    <w:rsid w:val="00D31168"/>
    <w:rsid w:val="00D46D81"/>
    <w:rsid w:val="00D6101A"/>
    <w:rsid w:val="00DB6419"/>
    <w:rsid w:val="00DC0FCE"/>
    <w:rsid w:val="00DC4CFA"/>
    <w:rsid w:val="00DD0515"/>
    <w:rsid w:val="00DD1D9F"/>
    <w:rsid w:val="00DD3570"/>
    <w:rsid w:val="00DD74E4"/>
    <w:rsid w:val="00DD7B34"/>
    <w:rsid w:val="00E00538"/>
    <w:rsid w:val="00E30A1D"/>
    <w:rsid w:val="00E514FA"/>
    <w:rsid w:val="00E56D29"/>
    <w:rsid w:val="00E570FF"/>
    <w:rsid w:val="00E67B68"/>
    <w:rsid w:val="00EA6CBD"/>
    <w:rsid w:val="00EB2FB1"/>
    <w:rsid w:val="00EB567C"/>
    <w:rsid w:val="00EB6BE3"/>
    <w:rsid w:val="00EB6CC9"/>
    <w:rsid w:val="00EF3142"/>
    <w:rsid w:val="00F0152D"/>
    <w:rsid w:val="00F06A63"/>
    <w:rsid w:val="00F06D63"/>
    <w:rsid w:val="00F10E0E"/>
    <w:rsid w:val="00F255B9"/>
    <w:rsid w:val="00F41EB0"/>
    <w:rsid w:val="00F42C7E"/>
    <w:rsid w:val="00F6253C"/>
    <w:rsid w:val="00F65775"/>
    <w:rsid w:val="00F714C8"/>
    <w:rsid w:val="00F75B43"/>
    <w:rsid w:val="00F75E01"/>
    <w:rsid w:val="00FB4A14"/>
    <w:rsid w:val="00FB7DC6"/>
    <w:rsid w:val="00FC6C99"/>
    <w:rsid w:val="00FD0805"/>
    <w:rsid w:val="00FD3F08"/>
    <w:rsid w:val="00FD4B8C"/>
    <w:rsid w:val="00FD5E27"/>
    <w:rsid w:val="00FE7671"/>
    <w:rsid w:val="00FF6FE9"/>
    <w:rsid w:val="1AE16AA7"/>
    <w:rsid w:val="2849259F"/>
    <w:rsid w:val="4ADE49B0"/>
    <w:rsid w:val="56866800"/>
    <w:rsid w:val="59C3051A"/>
    <w:rsid w:val="69A86D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3D34A7E2-48C4-4340-BC62-34E7D881B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lang w:val="vi-VN" w:eastAsia="vi-V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nhideWhenUsed="1" w:qFormat="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8"/>
      <w:szCs w:val="28"/>
      <w:lang w:val="en-US" w:eastAsia="en-US"/>
    </w:rPr>
  </w:style>
  <w:style w:type="paragraph" w:styleId="Heading1">
    <w:name w:val="heading 1"/>
    <w:basedOn w:val="Normal"/>
    <w:next w:val="Normal"/>
    <w:link w:val="Heading1Char"/>
    <w:qFormat/>
    <w:pPr>
      <w:keepNext/>
      <w:jc w:val="center"/>
      <w:outlineLvl w:val="0"/>
    </w:pPr>
    <w:rPr>
      <w:rFonts w:ascii=".VnTime" w:hAnsi=".VnTime"/>
      <w:i/>
      <w:iCs/>
      <w:sz w:val="26"/>
      <w:szCs w:val="24"/>
    </w:rPr>
  </w:style>
  <w:style w:type="paragraph" w:styleId="Heading2">
    <w:name w:val="heading 2"/>
    <w:basedOn w:val="Normal"/>
    <w:next w:val="Normal"/>
    <w:link w:val="Heading2Char"/>
    <w:qFormat/>
    <w:pPr>
      <w:keepNext/>
      <w:jc w:val="center"/>
      <w:outlineLvl w:val="1"/>
    </w:pPr>
    <w:rPr>
      <w:b/>
      <w:bCs/>
      <w:sz w:val="26"/>
      <w:szCs w:val="26"/>
    </w:rPr>
  </w:style>
  <w:style w:type="paragraph" w:styleId="Heading3">
    <w:name w:val="heading 3"/>
    <w:basedOn w:val="Normal"/>
    <w:next w:val="Normal"/>
    <w:link w:val="Heading3Char"/>
    <w:uiPriority w:val="9"/>
    <w:unhideWhenUsed/>
    <w:qFormat/>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BodyText">
    <w:name w:val="Body Text"/>
    <w:basedOn w:val="Normal"/>
    <w:link w:val="BodyTextChar"/>
    <w:qFormat/>
    <w:pPr>
      <w:jc w:val="center"/>
    </w:pPr>
    <w:rPr>
      <w:rFonts w:ascii=".VnTimeH" w:hAnsi=".VnTimeH"/>
      <w:b/>
      <w:bCs/>
      <w:sz w:val="26"/>
      <w:szCs w:val="24"/>
    </w:rPr>
  </w:style>
  <w:style w:type="paragraph" w:styleId="BodyText2">
    <w:name w:val="Body Text 2"/>
    <w:basedOn w:val="Normal"/>
    <w:link w:val="BodyText2Char"/>
    <w:uiPriority w:val="99"/>
    <w:unhideWhenUsed/>
    <w:qFormat/>
    <w:pPr>
      <w:spacing w:after="120" w:line="480" w:lineRule="auto"/>
    </w:pPr>
  </w:style>
  <w:style w:type="paragraph" w:styleId="BodyText3">
    <w:name w:val="Body Text 3"/>
    <w:basedOn w:val="Normal"/>
    <w:link w:val="BodyText3Char"/>
    <w:qFormat/>
    <w:pPr>
      <w:jc w:val="center"/>
    </w:pPr>
    <w:rPr>
      <w:rFonts w:ascii=".VnTimeH" w:hAnsi=".VnTimeH"/>
      <w:b/>
      <w:bCs/>
      <w:sz w:val="24"/>
      <w:szCs w:val="24"/>
    </w:rPr>
  </w:style>
  <w:style w:type="paragraph" w:styleId="BodyTextIndent">
    <w:name w:val="Body Text Indent"/>
    <w:basedOn w:val="Normal"/>
    <w:link w:val="BodyTextIndentChar"/>
    <w:uiPriority w:val="99"/>
    <w:semiHidden/>
    <w:unhideWhenUsed/>
    <w:qFormat/>
    <w:pPr>
      <w:spacing w:after="120"/>
      <w:ind w:left="360"/>
    </w:pPr>
  </w:style>
  <w:style w:type="paragraph" w:styleId="Footer">
    <w:name w:val="footer"/>
    <w:basedOn w:val="Normal"/>
    <w:link w:val="FooterChar"/>
    <w:qFormat/>
    <w:pPr>
      <w:tabs>
        <w:tab w:val="center" w:pos="4320"/>
        <w:tab w:val="right" w:pos="8640"/>
      </w:tabs>
    </w:pPr>
    <w:rPr>
      <w:sz w:val="24"/>
      <w:szCs w:val="24"/>
    </w:rPr>
  </w:style>
  <w:style w:type="paragraph" w:styleId="Header">
    <w:name w:val="header"/>
    <w:basedOn w:val="Normal"/>
    <w:link w:val="HeaderChar"/>
    <w:uiPriority w:val="99"/>
    <w:unhideWhenUsed/>
    <w:qFormat/>
    <w:pPr>
      <w:tabs>
        <w:tab w:val="center" w:pos="4680"/>
        <w:tab w:val="right" w:pos="9360"/>
      </w:tabs>
    </w:pPr>
  </w:style>
  <w:style w:type="table" w:styleId="TableGrid">
    <w:name w:val="Table Grid"/>
    <w:basedOn w:val="TableNormal"/>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qFormat/>
    <w:rPr>
      <w:rFonts w:ascii=".VnTime" w:eastAsia="Times New Roman" w:hAnsi=".VnTime" w:cs="Times New Roman"/>
      <w:i/>
      <w:iCs/>
      <w:sz w:val="26"/>
      <w:szCs w:val="24"/>
    </w:rPr>
  </w:style>
  <w:style w:type="character" w:customStyle="1" w:styleId="Heading2Char">
    <w:name w:val="Heading 2 Char"/>
    <w:basedOn w:val="DefaultParagraphFont"/>
    <w:link w:val="Heading2"/>
    <w:qFormat/>
    <w:rPr>
      <w:rFonts w:ascii="Times New Roman" w:eastAsia="Times New Roman" w:hAnsi="Times New Roman" w:cs="Times New Roman"/>
      <w:b/>
      <w:bCs/>
      <w:sz w:val="26"/>
      <w:szCs w:val="26"/>
    </w:rPr>
  </w:style>
  <w:style w:type="character" w:customStyle="1" w:styleId="BodyTextChar">
    <w:name w:val="Body Text Char"/>
    <w:basedOn w:val="DefaultParagraphFont"/>
    <w:link w:val="BodyText"/>
    <w:qFormat/>
    <w:rPr>
      <w:rFonts w:ascii=".VnTimeH" w:eastAsia="Times New Roman" w:hAnsi=".VnTimeH" w:cs="Times New Roman"/>
      <w:b/>
      <w:bCs/>
      <w:sz w:val="26"/>
      <w:szCs w:val="24"/>
    </w:rPr>
  </w:style>
  <w:style w:type="character" w:customStyle="1" w:styleId="BodyText3Char">
    <w:name w:val="Body Text 3 Char"/>
    <w:basedOn w:val="DefaultParagraphFont"/>
    <w:link w:val="BodyText3"/>
    <w:qFormat/>
    <w:rPr>
      <w:rFonts w:ascii=".VnTimeH" w:eastAsia="Times New Roman" w:hAnsi=".VnTimeH" w:cs="Times New Roman"/>
      <w:b/>
      <w:bCs/>
      <w:sz w:val="24"/>
      <w:szCs w:val="24"/>
    </w:rPr>
  </w:style>
  <w:style w:type="character" w:customStyle="1" w:styleId="BodyTextIndentChar">
    <w:name w:val="Body Text Indent Char"/>
    <w:basedOn w:val="DefaultParagraphFont"/>
    <w:link w:val="BodyTextIndent"/>
    <w:uiPriority w:val="99"/>
    <w:semiHidden/>
    <w:qFormat/>
    <w:rPr>
      <w:rFonts w:ascii="Times New Roman" w:eastAsia="Times New Roman" w:hAnsi="Times New Roman" w:cs="Times New Roman"/>
      <w:sz w:val="28"/>
      <w:szCs w:val="28"/>
    </w:rPr>
  </w:style>
  <w:style w:type="character" w:customStyle="1" w:styleId="BodyText2Char">
    <w:name w:val="Body Text 2 Char"/>
    <w:basedOn w:val="DefaultParagraphFont"/>
    <w:link w:val="BodyText2"/>
    <w:uiPriority w:val="99"/>
    <w:qFormat/>
    <w:rPr>
      <w:rFonts w:ascii="Times New Roman" w:eastAsia="Times New Roman" w:hAnsi="Times New Roman" w:cs="Times New Roman"/>
      <w:sz w:val="28"/>
      <w:szCs w:val="28"/>
    </w:rPr>
  </w:style>
  <w:style w:type="paragraph" w:styleId="ListParagraph">
    <w:name w:val="List Paragraph"/>
    <w:basedOn w:val="Normal"/>
    <w:uiPriority w:val="34"/>
    <w:qFormat/>
    <w:pPr>
      <w:ind w:left="720"/>
      <w:contextualSpacing/>
    </w:pPr>
    <w:rPr>
      <w:sz w:val="24"/>
      <w:szCs w:val="24"/>
    </w:rPr>
  </w:style>
  <w:style w:type="character" w:customStyle="1" w:styleId="BalloonTextChar">
    <w:name w:val="Balloon Text Char"/>
    <w:basedOn w:val="DefaultParagraphFont"/>
    <w:link w:val="BalloonText"/>
    <w:uiPriority w:val="99"/>
    <w:semiHidden/>
    <w:qFormat/>
    <w:rPr>
      <w:rFonts w:ascii="Tahoma" w:eastAsia="Times New Roman" w:hAnsi="Tahoma" w:cs="Tahoma"/>
      <w:sz w:val="16"/>
      <w:szCs w:val="16"/>
    </w:rPr>
  </w:style>
  <w:style w:type="character" w:customStyle="1" w:styleId="FooterChar">
    <w:name w:val="Footer Char"/>
    <w:basedOn w:val="DefaultParagraphFont"/>
    <w:link w:val="Footer"/>
    <w:qFormat/>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qFormat/>
    <w:rPr>
      <w:rFonts w:asciiTheme="majorHAnsi" w:eastAsiaTheme="majorEastAsia" w:hAnsiTheme="majorHAnsi" w:cstheme="majorBidi"/>
      <w:b/>
      <w:bCs/>
      <w:color w:val="4F81BD" w:themeColor="accent1"/>
      <w:sz w:val="28"/>
      <w:szCs w:val="28"/>
    </w:rPr>
  </w:style>
  <w:style w:type="character" w:customStyle="1" w:styleId="HeaderChar">
    <w:name w:val="Header Char"/>
    <w:basedOn w:val="DefaultParagraphFont"/>
    <w:link w:val="Header"/>
    <w:uiPriority w:val="99"/>
    <w:qFormat/>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ADF452BE-3D1C-455D-B13E-9FEF51B37F7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3157</Words>
  <Characters>18000</Characters>
  <Application>Microsoft Office Word</Application>
  <DocSecurity>0</DocSecurity>
  <Lines>150</Lines>
  <Paragraphs>42</Paragraphs>
  <ScaleCrop>false</ScaleCrop>
  <Company/>
  <LinksUpToDate>false</LinksUpToDate>
  <CharactersWithSpaces>21115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PCPV</cp:lastModifiedBy>
  <cp:revision>2</cp:revision>
  <cp:lastPrinted>2024-10-16T03:11:00Z</cp:lastPrinted>
  <dcterms:created xsi:type="dcterms:W3CDTF">2024-10-22T02:23:00Z</dcterms:created>
  <dcterms:modified xsi:type="dcterms:W3CDTF">2024-10-22T02:23:00Z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1033-12.2.0.18607</vt:lpwstr>
  </property>
  <property fmtid="{D5CDD505-2E9C-101B-9397-08002B2CF9AE}" pid="3" name="ICV">
    <vt:lpwstr>AC4C3B1D6C04479C9AABA053E10535B9_12</vt:lpwstr>
  </property>
</Properties>
</file>